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0F1632" w14:textId="77777777" w:rsidR="00BB20AA" w:rsidRPr="00D63253" w:rsidRDefault="00C011F6" w:rsidP="00286E73">
      <w:pPr>
        <w:rPr>
          <w:rFonts w:asciiTheme="majorHAnsi" w:hAnsiTheme="majorHAnsi" w:cstheme="majorHAnsi"/>
          <w:b/>
          <w:color w:val="auto"/>
          <w:sz w:val="28"/>
          <w:szCs w:val="28"/>
        </w:rPr>
      </w:pPr>
      <w:bookmarkStart w:id="0" w:name="_Hlk529508739"/>
      <w:r w:rsidRPr="00D63253">
        <w:rPr>
          <w:rFonts w:asciiTheme="majorHAnsi" w:hAnsiTheme="majorHAnsi" w:cstheme="majorHAnsi"/>
          <w:b/>
          <w:color w:val="auto"/>
          <w:sz w:val="28"/>
          <w:szCs w:val="28"/>
        </w:rPr>
        <w:t>Nur eine Handvoll Pharmaunternehmen entwickeln den Grossteil neuer und dringend benötigter Arzneimittel für die Ärmsten. Das zeigt der aktuelle Access to Medicine Index.</w:t>
      </w:r>
      <w:bookmarkEnd w:id="0"/>
    </w:p>
    <w:p w14:paraId="0C5D6A02" w14:textId="6CE63135" w:rsidR="00C011F6" w:rsidRPr="00286E73" w:rsidRDefault="00BB20AA" w:rsidP="00286E73">
      <w:pPr>
        <w:rPr>
          <w:rFonts w:asciiTheme="majorHAnsi" w:hAnsiTheme="majorHAnsi" w:cstheme="majorHAnsi"/>
          <w:b/>
          <w:color w:val="auto"/>
        </w:rPr>
      </w:pPr>
      <w:r w:rsidRPr="00286E73">
        <w:rPr>
          <w:rFonts w:asciiTheme="majorHAnsi" w:hAnsiTheme="majorHAnsi" w:cstheme="majorHAnsi"/>
          <w:color w:val="auto"/>
        </w:rPr>
        <w:t xml:space="preserve"> </w:t>
      </w:r>
      <w:r w:rsidR="00D63253">
        <w:rPr>
          <w:rFonts w:asciiTheme="majorHAnsi" w:hAnsiTheme="majorHAnsi" w:cstheme="majorHAnsi"/>
          <w:color w:val="auto"/>
        </w:rPr>
        <w:br/>
      </w:r>
      <w:r w:rsidR="00C011F6" w:rsidRPr="00286E73">
        <w:rPr>
          <w:rFonts w:asciiTheme="majorHAnsi" w:hAnsiTheme="majorHAnsi" w:cstheme="majorHAnsi"/>
          <w:b/>
          <w:color w:val="auto"/>
        </w:rPr>
        <w:t>Amsterdam, N</w:t>
      </w:r>
      <w:bookmarkStart w:id="1" w:name="_GoBack"/>
      <w:bookmarkEnd w:id="1"/>
      <w:r w:rsidR="00C011F6" w:rsidRPr="00286E73">
        <w:rPr>
          <w:rFonts w:asciiTheme="majorHAnsi" w:hAnsiTheme="majorHAnsi" w:cstheme="majorHAnsi"/>
          <w:b/>
          <w:color w:val="auto"/>
        </w:rPr>
        <w:t xml:space="preserve">iederlande, 20. November 2018 – Die Entwicklung neuer medizinischer Produkte, die für die Menschen in Entwicklungsländern höchste Priorität haben, konzentriert sich auf nur fünf Pharmaunternehmen und fünf Krankheiten. Das zeigt der Access to Medicine Index 2018, ein unabhängiges Ranking der 20 führenden Pharmaunternehmen. Er untersucht deren Bemühungen, den Zugang zu Medikamenten in Ländern mit niedrigem und mittlerem Einkommen zu verbessern. </w:t>
      </w:r>
    </w:p>
    <w:p w14:paraId="76B897EE" w14:textId="77777777" w:rsidR="00C011F6" w:rsidRPr="00286E73" w:rsidRDefault="00C011F6" w:rsidP="00286E73">
      <w:pPr>
        <w:rPr>
          <w:rFonts w:asciiTheme="majorHAnsi" w:hAnsiTheme="majorHAnsi" w:cstheme="majorHAnsi"/>
          <w:color w:val="auto"/>
        </w:rPr>
      </w:pPr>
      <w:r w:rsidRPr="00286E73">
        <w:rPr>
          <w:rFonts w:asciiTheme="majorHAnsi" w:hAnsiTheme="majorHAnsi" w:cstheme="majorHAnsi"/>
          <w:color w:val="auto"/>
        </w:rPr>
        <w:t xml:space="preserve">Glaxo Smith Kline steht nach wie vor an der Spitze des Index. Takeda steigt 2018 besonders steil um 10 Plätze auf Rang fünf. Novartis wird Zweiter vor Johnson &amp; Johnson und der Merck KGaA. Das sind die Marktführer 2018. </w:t>
      </w:r>
      <w:bookmarkStart w:id="2" w:name="_Hlk529508812"/>
      <w:r w:rsidRPr="00286E73">
        <w:rPr>
          <w:rFonts w:asciiTheme="majorHAnsi" w:hAnsiTheme="majorHAnsi" w:cstheme="majorHAnsi"/>
          <w:color w:val="auto"/>
        </w:rPr>
        <w:t>Diese vier Unternehmen machen, zusammen mit Sanofi (Rang 6), 39 Prozent der hochpriorisierten Forschung und Entwicklung aus.</w:t>
      </w:r>
      <w:bookmarkEnd w:id="2"/>
    </w:p>
    <w:p w14:paraId="3AEAA97F" w14:textId="48662BE0" w:rsidR="00C011F6" w:rsidRPr="00286E73" w:rsidRDefault="00C011F6" w:rsidP="00286E73">
      <w:pPr>
        <w:rPr>
          <w:rFonts w:asciiTheme="majorHAnsi" w:hAnsiTheme="majorHAnsi" w:cstheme="majorHAnsi"/>
          <w:color w:val="auto"/>
        </w:rPr>
      </w:pPr>
      <w:r w:rsidRPr="00286E73">
        <w:rPr>
          <w:rFonts w:asciiTheme="majorHAnsi" w:hAnsiTheme="majorHAnsi" w:cstheme="majorHAnsi"/>
          <w:color w:val="auto"/>
        </w:rPr>
        <w:t>«Die Tatsache, dass eine Handvoll Unternehmen den Grossteil hochpriorisierter Forschung und Entwicklung trägt, zeigt, wie fragil die Situation ist. Ein Rückzug von nur einem dieser Unternehmen hätte erhebliche Auswirkungen», sagte Jayasree K. Iyer, Geschäftsführerin der Access to Medicine Foundation. «Wenn sich mehr Unternehmen dieser Gruppe anschliessen, würde das zu wesentlicher Entspannung führen.»</w:t>
      </w:r>
    </w:p>
    <w:p w14:paraId="57754939" w14:textId="77777777" w:rsidR="00C011F6" w:rsidRPr="00286E73" w:rsidRDefault="00C011F6" w:rsidP="00286E73">
      <w:pPr>
        <w:rPr>
          <w:rFonts w:asciiTheme="majorHAnsi" w:hAnsiTheme="majorHAnsi" w:cstheme="majorHAnsi"/>
          <w:color w:val="auto"/>
        </w:rPr>
      </w:pPr>
      <w:bookmarkStart w:id="3" w:name="_Hlk529509089"/>
      <w:r w:rsidRPr="00286E73">
        <w:rPr>
          <w:rFonts w:asciiTheme="majorHAnsi" w:hAnsiTheme="majorHAnsi" w:cstheme="majorHAnsi"/>
          <w:color w:val="auto"/>
        </w:rPr>
        <w:t xml:space="preserve">Der Index zeigt, dass sich das Engagement der Industrie auf nur fünf Krankheiten konzentriert. Die Hälfte aller Aktivitäten zielt auf die Bekämpfung von Malaria, HIV/AIDS, Tuberkulose, der Chagas-Krankheit und Leishmaniose ab. </w:t>
      </w:r>
    </w:p>
    <w:p w14:paraId="4986F29D" w14:textId="77777777" w:rsidR="00C011F6" w:rsidRPr="00286E73" w:rsidRDefault="00C011F6" w:rsidP="00286E73">
      <w:pPr>
        <w:rPr>
          <w:rFonts w:asciiTheme="majorHAnsi" w:hAnsiTheme="majorHAnsi" w:cstheme="majorHAnsi"/>
          <w:color w:val="auto"/>
        </w:rPr>
      </w:pPr>
      <w:r w:rsidRPr="00286E73">
        <w:rPr>
          <w:rFonts w:asciiTheme="majorHAnsi" w:hAnsiTheme="majorHAnsi" w:cstheme="majorHAnsi"/>
          <w:color w:val="auto"/>
        </w:rPr>
        <w:t>Diese fünf Krankheiten stehen im Fokus globaler Gesundheitsinitiativen und haben internationale Geldgeber hinter sich. Jedoch haben die WHO und andere Organisationen insgesamt 45 Krankheiten identifiziert, die hohe Priorität für Forschung und Entwicklung haben.</w:t>
      </w:r>
      <w:bookmarkEnd w:id="3"/>
    </w:p>
    <w:p w14:paraId="591641E2" w14:textId="77777777" w:rsidR="00C011F6" w:rsidRPr="00286E73" w:rsidRDefault="00C011F6" w:rsidP="00286E73">
      <w:pPr>
        <w:rPr>
          <w:rFonts w:asciiTheme="majorHAnsi" w:hAnsiTheme="majorHAnsi" w:cstheme="majorHAnsi"/>
          <w:color w:val="auto"/>
        </w:rPr>
      </w:pPr>
      <w:bookmarkStart w:id="4" w:name="_Hlk529509257"/>
      <w:r w:rsidRPr="00286E73">
        <w:rPr>
          <w:rFonts w:asciiTheme="majorHAnsi" w:hAnsiTheme="majorHAnsi" w:cstheme="majorHAnsi"/>
          <w:color w:val="auto"/>
        </w:rPr>
        <w:t xml:space="preserve">Die Analyse zeigt, dass die Mehrzahl der hochpriorisierten Entwicklungsprojekte gemeinsam mit Forschungseinrichtungen des öffentlichen Sektors durchgeführt werden. </w:t>
      </w:r>
      <w:bookmarkEnd w:id="4"/>
      <w:r w:rsidRPr="00286E73">
        <w:rPr>
          <w:rFonts w:asciiTheme="majorHAnsi" w:hAnsiTheme="majorHAnsi" w:cstheme="majorHAnsi"/>
          <w:color w:val="auto"/>
        </w:rPr>
        <w:t>Jedoch entwickeln einige Unternehmen wichtige Produkte auch ohne eine Förderung. Ein Beispiel ist die Merck KGaA, die Tests und Behandlungen von Bilharziose entwickelt, eine durch Wasser übertragene Parasitenerkrankung, an der etwa 252 Millionen Menschen leiden.</w:t>
      </w:r>
    </w:p>
    <w:p w14:paraId="45EA5491" w14:textId="10643682" w:rsidR="00C011F6" w:rsidRPr="00286E73" w:rsidRDefault="00C011F6" w:rsidP="00286E73">
      <w:pPr>
        <w:rPr>
          <w:rFonts w:asciiTheme="majorHAnsi" w:hAnsiTheme="majorHAnsi" w:cstheme="majorHAnsi"/>
          <w:color w:val="auto"/>
        </w:rPr>
      </w:pPr>
      <w:bookmarkStart w:id="5" w:name="_Hlk529509795"/>
      <w:r w:rsidRPr="00286E73">
        <w:rPr>
          <w:rFonts w:asciiTheme="majorHAnsi" w:hAnsiTheme="majorHAnsi" w:cstheme="majorHAnsi"/>
          <w:color w:val="auto"/>
        </w:rPr>
        <w:t>«</w:t>
      </w:r>
      <w:r w:rsidR="00EC6F77" w:rsidRPr="00286E73">
        <w:rPr>
          <w:rFonts w:asciiTheme="majorHAnsi" w:hAnsiTheme="majorHAnsi" w:cstheme="majorHAnsi"/>
          <w:color w:val="auto"/>
        </w:rPr>
        <w:t>Wenn sich die Gesellschaft der Prioritäten bewusst ist, hilft das, die Bemühungen der Branche zu konzentrieren.</w:t>
      </w:r>
      <w:r w:rsidRPr="00286E73">
        <w:rPr>
          <w:rFonts w:asciiTheme="majorHAnsi" w:hAnsiTheme="majorHAnsi" w:cstheme="majorHAnsi"/>
          <w:color w:val="auto"/>
        </w:rPr>
        <w:t>», sagte Danny Edwards, Forschungsleiter des Index. «Wir haben das bei unserer Analyse nicht nur im Bereich Forschung und Entwicklung nachgewiesen, sondern auch bei den Massnahmen, die Unternehmen ergreifen, um Medikamente verfügbar zu machen, nachdem sie den Markt erreicht haben. Kurz gesagt: Wenn es einen Aufruf zum Handeln oder Spendengelder gibt, werden sich mehr Unternehmen engagieren, insbesondere in Bereichen mit geringem kommerziellem Potenzial.</w:t>
      </w:r>
      <w:bookmarkEnd w:id="5"/>
      <w:r w:rsidRPr="00286E73">
        <w:rPr>
          <w:rFonts w:asciiTheme="majorHAnsi" w:hAnsiTheme="majorHAnsi" w:cstheme="majorHAnsi"/>
          <w:color w:val="auto"/>
        </w:rPr>
        <w:t>»</w:t>
      </w:r>
      <w:r w:rsidRPr="00286E73">
        <w:rPr>
          <w:rFonts w:asciiTheme="majorHAnsi" w:hAnsiTheme="majorHAnsi" w:cstheme="majorHAnsi"/>
          <w:color w:val="auto"/>
        </w:rPr>
        <w:br/>
      </w:r>
      <w:r w:rsidRPr="00286E73">
        <w:rPr>
          <w:rFonts w:asciiTheme="majorHAnsi" w:hAnsiTheme="majorHAnsi" w:cstheme="majorHAnsi"/>
          <w:color w:val="auto"/>
        </w:rPr>
        <w:br/>
      </w:r>
      <w:bookmarkStart w:id="6" w:name="_Hlk529510135"/>
      <w:r w:rsidRPr="00286E73">
        <w:rPr>
          <w:rFonts w:asciiTheme="majorHAnsi" w:hAnsiTheme="majorHAnsi" w:cstheme="majorHAnsi"/>
          <w:color w:val="auto"/>
        </w:rPr>
        <w:t xml:space="preserve">Dieser Fokus auf bestimmte Unternehmen und Krankheiten zeigt sich auch in anderen Aktivitäten, die wichtig sind für den Zugang zu Medikamenten: So sind beispielsweise nur wenige Unternehmen </w:t>
      </w:r>
      <w:r w:rsidRPr="00286E73">
        <w:rPr>
          <w:rFonts w:asciiTheme="majorHAnsi" w:hAnsiTheme="majorHAnsi" w:cstheme="majorHAnsi"/>
          <w:color w:val="auto"/>
        </w:rPr>
        <w:lastRenderedPageBreak/>
        <w:t>verantwortlich für die Einführung fairer Preisstrategien und für die Zugriffsplanung, solange sich Produkte noch in der Pipeline befinden.</w:t>
      </w:r>
      <w:bookmarkEnd w:id="6"/>
    </w:p>
    <w:p w14:paraId="28F619A5" w14:textId="15D3043E" w:rsidR="00C011F6" w:rsidRPr="00D63253" w:rsidRDefault="00C011F6" w:rsidP="00286E73">
      <w:pPr>
        <w:rPr>
          <w:rFonts w:asciiTheme="majorHAnsi" w:hAnsiTheme="majorHAnsi" w:cstheme="majorHAnsi"/>
          <w:b/>
          <w:color w:val="auto"/>
        </w:rPr>
      </w:pPr>
      <w:r w:rsidRPr="004A5E5D">
        <w:rPr>
          <w:rFonts w:asciiTheme="majorHAnsi" w:hAnsiTheme="majorHAnsi" w:cstheme="majorHAnsi"/>
          <w:b/>
          <w:color w:val="auto"/>
        </w:rPr>
        <w:t>Fortschritte der letzten zwei Jahre</w:t>
      </w:r>
      <w:r w:rsidR="00D63253">
        <w:rPr>
          <w:rFonts w:asciiTheme="majorHAnsi" w:hAnsiTheme="majorHAnsi" w:cstheme="majorHAnsi"/>
          <w:b/>
          <w:color w:val="auto"/>
        </w:rPr>
        <w:br/>
      </w:r>
      <w:r w:rsidRPr="00286E73">
        <w:rPr>
          <w:rFonts w:asciiTheme="majorHAnsi" w:hAnsiTheme="majorHAnsi" w:cstheme="majorHAnsi"/>
          <w:color w:val="auto"/>
        </w:rPr>
        <w:t>Der Index untersucht die Unternehmen in sieben Bereichen, die wichtig sind für den verbesserten Zugang zu Medikamenten.</w:t>
      </w:r>
    </w:p>
    <w:p w14:paraId="04429B4C" w14:textId="77777777" w:rsidR="00C011F6" w:rsidRPr="00286E73" w:rsidRDefault="00C011F6" w:rsidP="00286E73">
      <w:pPr>
        <w:rPr>
          <w:rFonts w:asciiTheme="majorHAnsi" w:hAnsiTheme="majorHAnsi" w:cstheme="majorHAnsi"/>
          <w:color w:val="auto"/>
        </w:rPr>
      </w:pPr>
      <w:r w:rsidRPr="00286E73">
        <w:rPr>
          <w:rFonts w:asciiTheme="majorHAnsi" w:hAnsiTheme="majorHAnsi" w:cstheme="majorHAnsi"/>
          <w:color w:val="auto"/>
        </w:rPr>
        <w:t xml:space="preserve">Insgesamt hat sich die Situation diesbezüglich positiv entwickelt: Drei Unternehmen haben seit dem Index 2016 neue Strategien festgelegt oder bestehende untermauert. </w:t>
      </w:r>
      <w:bookmarkStart w:id="7" w:name="_Hlk529510350"/>
      <w:r w:rsidRPr="00286E73">
        <w:rPr>
          <w:rFonts w:asciiTheme="majorHAnsi" w:hAnsiTheme="majorHAnsi" w:cstheme="majorHAnsi"/>
          <w:color w:val="auto"/>
        </w:rPr>
        <w:t xml:space="preserve">Fünf Unternehmen bauen Absatzmodelle auf, die explizit Menschen in unterversorgten Gemeinschaften als Kunden abholen sollen. </w:t>
      </w:r>
      <w:bookmarkEnd w:id="7"/>
      <w:r w:rsidRPr="00286E73">
        <w:rPr>
          <w:rFonts w:asciiTheme="majorHAnsi" w:hAnsiTheme="majorHAnsi" w:cstheme="majorHAnsi"/>
          <w:color w:val="auto"/>
        </w:rPr>
        <w:t xml:space="preserve">Gerade dort, wo die Konzerne eigene Patente führen, agieren sie besonders transparent. Das ist eine wertvolle Information gerade für internationale Arzneimittelbeschaffer. </w:t>
      </w:r>
      <w:bookmarkStart w:id="8" w:name="_Hlk529510486"/>
      <w:r w:rsidRPr="00286E73">
        <w:rPr>
          <w:rFonts w:asciiTheme="majorHAnsi" w:hAnsiTheme="majorHAnsi" w:cstheme="majorHAnsi"/>
          <w:color w:val="auto"/>
        </w:rPr>
        <w:t>Strategien, mittels derer unterschiedliche Preise für die verschiedenen Bevölkerungsgruppen eines Landes festgelegt werden, zielen heute mit mehr Sensibilität darauf ab, was sich die Menschen tatsächlich leisten können.</w:t>
      </w:r>
      <w:bookmarkEnd w:id="8"/>
    </w:p>
    <w:p w14:paraId="0A4C699C" w14:textId="77777777" w:rsidR="00C011F6" w:rsidRPr="00286E73" w:rsidRDefault="00C011F6" w:rsidP="00286E73">
      <w:pPr>
        <w:rPr>
          <w:rFonts w:asciiTheme="majorHAnsi" w:hAnsiTheme="majorHAnsi" w:cstheme="majorHAnsi"/>
          <w:color w:val="auto"/>
        </w:rPr>
      </w:pPr>
      <w:r w:rsidRPr="00286E73">
        <w:rPr>
          <w:rFonts w:asciiTheme="majorHAnsi" w:hAnsiTheme="majorHAnsi" w:cstheme="majorHAnsi"/>
          <w:color w:val="auto"/>
        </w:rPr>
        <w:t>In einigen Bereichen wird jedoch immer noch zu wenig getan. Unternehmen passen beispielsweise ihre Preisstrategien, um die Erschwinglichkeit von mehr Produkten zu verbessern, hauptsächlich in Schwellenländern an. Lizensierungsmodelle haben zwar die Herstellung und den Vertrieb von Generika-Behandlung für Menschen mit HIV/AIDS ermöglicht, jedoch können die Medikamente nur darauf und auf Hepatitis C, aber nicht auf andere Krankheiten angewendet werden.</w:t>
      </w:r>
    </w:p>
    <w:p w14:paraId="307C4596" w14:textId="77777777" w:rsidR="00C011F6" w:rsidRPr="00286E73" w:rsidRDefault="00C011F6" w:rsidP="00286E73">
      <w:pPr>
        <w:rPr>
          <w:rFonts w:asciiTheme="majorHAnsi" w:hAnsiTheme="majorHAnsi" w:cstheme="majorHAnsi"/>
          <w:color w:val="auto"/>
        </w:rPr>
      </w:pPr>
      <w:r w:rsidRPr="00286E73">
        <w:rPr>
          <w:rFonts w:asciiTheme="majorHAnsi" w:hAnsiTheme="majorHAnsi" w:cstheme="majorHAnsi"/>
          <w:color w:val="auto"/>
        </w:rPr>
        <w:t>Im Vergleich zu 2016 haben die Pharmaunternehmen heute mehr Projekte in der Pipeline mit Fokus auf globale Gesundheitsprioritäten. Seit dem Index von vor zwei Jahren sind mindestens 66 neue Produkte auf den Markt gekommen. Sie betreffen 14 Krankheiten, die im Index behandelt werden. Die Hälfte davon zielt auf Krebserkrankungen ab. Andere Beispiele sind:</w:t>
      </w:r>
    </w:p>
    <w:p w14:paraId="2A866303" w14:textId="19D7FE3C" w:rsidR="00C011F6" w:rsidRPr="00286E73" w:rsidRDefault="00C011F6" w:rsidP="00286E73">
      <w:pPr>
        <w:rPr>
          <w:rFonts w:asciiTheme="majorHAnsi" w:hAnsiTheme="majorHAnsi" w:cstheme="majorHAnsi"/>
          <w:color w:val="auto"/>
        </w:rPr>
      </w:pPr>
      <w:r w:rsidRPr="00286E73">
        <w:rPr>
          <w:rFonts w:asciiTheme="majorHAnsi" w:hAnsiTheme="majorHAnsi" w:cstheme="majorHAnsi"/>
          <w:color w:val="auto"/>
        </w:rPr>
        <w:t>Drei neue Pillen, die alle sechs Haupt-Genotypen von Hepatitis C heilen können. Gilead hat freiwillige Lizenzvereinbarungen mit elf indischen Generika-Produzenten geschlossen, die die Herstellung und den Vertrieb von zwei dieser Produkte in 105 Entwicklungsländern ermöglichen. (Gilead und AbbVie)</w:t>
      </w:r>
    </w:p>
    <w:p w14:paraId="61195201" w14:textId="6800F61B" w:rsidR="00AE4251" w:rsidRDefault="00C011F6" w:rsidP="00286E73">
      <w:pPr>
        <w:rPr>
          <w:rFonts w:asciiTheme="majorHAnsi" w:hAnsiTheme="majorHAnsi" w:cstheme="majorHAnsi"/>
          <w:color w:val="auto"/>
        </w:rPr>
      </w:pPr>
      <w:r w:rsidRPr="00286E73">
        <w:rPr>
          <w:rFonts w:asciiTheme="majorHAnsi" w:hAnsiTheme="majorHAnsi" w:cstheme="majorHAnsi"/>
          <w:color w:val="auto"/>
        </w:rPr>
        <w:t xml:space="preserve">Eine kinderfreundliche Kautablette gegen den Rund- und Peitschenwurm, die derzeit geschätzte 795 Millionen Menschen befällt. Johnson &amp; Johnson hat dafür bis 2020 ein Spendenprogramm von 200 Millionen Dosen pro Jahr zugesagt. </w:t>
      </w:r>
    </w:p>
    <w:p w14:paraId="65009A0D" w14:textId="77777777" w:rsidR="00AE4251" w:rsidRPr="00286E73" w:rsidRDefault="00AE4251" w:rsidP="00AE4251">
      <w:pPr>
        <w:rPr>
          <w:rFonts w:asciiTheme="majorHAnsi" w:hAnsiTheme="majorHAnsi" w:cstheme="majorHAnsi"/>
          <w:b/>
          <w:color w:val="auto"/>
        </w:rPr>
      </w:pPr>
      <w:r w:rsidRPr="00286E73">
        <w:rPr>
          <w:rFonts w:asciiTheme="majorHAnsi" w:hAnsiTheme="majorHAnsi" w:cstheme="majorHAnsi"/>
          <w:b/>
          <w:color w:val="auto"/>
        </w:rPr>
        <w:t>Novartis und Roche haben seit 2016 ihr Ranking verbessert</w:t>
      </w:r>
      <w:r>
        <w:rPr>
          <w:rFonts w:asciiTheme="majorHAnsi" w:hAnsiTheme="majorHAnsi" w:cstheme="majorHAnsi"/>
          <w:b/>
          <w:color w:val="auto"/>
        </w:rPr>
        <w:br/>
      </w:r>
      <w:r w:rsidRPr="00286E73">
        <w:rPr>
          <w:rFonts w:asciiTheme="majorHAnsi" w:hAnsiTheme="majorHAnsi" w:cstheme="majorHAnsi"/>
          <w:color w:val="auto"/>
        </w:rPr>
        <w:t>Novartis konnte dank guter Leistungen, gerade im Bereich Forschung und Entwicklung, vom dritten auf den zweiten Platz vorrücken. Der Arzneimittelhersteller verfügt über ein vergleichsweise grosses Portfolio dringend benötigter Medikamente, darunter drei stationäre Behandlungsmethoden gegen Malaria. Novartis plant systematisch im Voraus, sodass gerade Menschen in Ländern mit niedrigem und mittlerem Einkommen Zugang zu neuen Medikamenten erhalten. Das Unternehmen baut derzeit das innovative «Novartis Access-Programm» aus: In Zusammenarbeit mit Regierungen und NGO wird in fünf Ländern – darunter Kenia, Pakistan, Ruanda und Uganda – ein Korb mit Medikamenten für einen US-Dollar pro Behandlung und pro Monat angeboten.</w:t>
      </w:r>
    </w:p>
    <w:p w14:paraId="7B7224F4" w14:textId="615A8082" w:rsidR="00AE4251" w:rsidRPr="00286E73" w:rsidRDefault="00AE4251" w:rsidP="00286E73">
      <w:pPr>
        <w:rPr>
          <w:rFonts w:asciiTheme="majorHAnsi" w:hAnsiTheme="majorHAnsi" w:cstheme="majorHAnsi"/>
          <w:color w:val="auto"/>
        </w:rPr>
      </w:pPr>
      <w:r w:rsidRPr="00286E73">
        <w:rPr>
          <w:rFonts w:asciiTheme="majorHAnsi" w:hAnsiTheme="majorHAnsi" w:cstheme="majorHAnsi"/>
          <w:color w:val="auto"/>
        </w:rPr>
        <w:t xml:space="preserve">Roche ist vom 19. Platz in die Top 10 aufgestiegen, was auf eine stärkere Strategie hinsichtlich des Zugangs zu Medikamenten und auf verbesserte Transparenz zurückzuführen ist. Roche wendet </w:t>
      </w:r>
      <w:r w:rsidRPr="00286E73">
        <w:rPr>
          <w:rFonts w:asciiTheme="majorHAnsi" w:hAnsiTheme="majorHAnsi" w:cstheme="majorHAnsi"/>
          <w:color w:val="auto"/>
        </w:rPr>
        <w:lastRenderedPageBreak/>
        <w:t xml:space="preserve">innovative Methoden an, um Zugangspläne an die Bedürfnisse lokaler Gemeinschaften anzupassen. So wird beispielsweise das Bewusstsein für das Thema gestärkt und der Zugang zu fundierten Diagnosen verbessert – gerade in Bezug auf die Behandlung von Krebs. Das Unternehmen ging Ende 2016 eine fünfjährige Partnerschaft mit dem kenianischen Gesundheitsministerium ein, um die Pflege und Behandlung der rund 4.500 Patienten zu verbessern, bei denen pro Jahr Brustkrebs diagnostiziert wird. </w:t>
      </w:r>
    </w:p>
    <w:p w14:paraId="44C8E7FA" w14:textId="2DD77995" w:rsidR="00C011F6" w:rsidRPr="00D63253" w:rsidRDefault="00AE4251" w:rsidP="00286E73">
      <w:pPr>
        <w:rPr>
          <w:rFonts w:asciiTheme="majorHAnsi" w:hAnsiTheme="majorHAnsi" w:cstheme="majorHAnsi"/>
          <w:b/>
          <w:color w:val="auto"/>
        </w:rPr>
      </w:pPr>
      <w:r w:rsidRPr="0059140E">
        <w:rPr>
          <w:rFonts w:asciiTheme="majorHAnsi" w:hAnsiTheme="majorHAnsi"/>
          <w:b/>
          <w:color w:val="000000" w:themeColor="text1"/>
        </w:rPr>
        <w:t>Krebserkrankungen</w:t>
      </w:r>
      <w:r>
        <w:rPr>
          <w:rFonts w:asciiTheme="majorHAnsi" w:hAnsiTheme="majorHAnsi"/>
          <w:b/>
          <w:color w:val="000000" w:themeColor="text1"/>
        </w:rPr>
        <w:t xml:space="preserve"> i</w:t>
      </w:r>
      <w:r w:rsidRPr="0059140E">
        <w:rPr>
          <w:rFonts w:asciiTheme="majorHAnsi" w:hAnsiTheme="majorHAnsi"/>
          <w:b/>
          <w:color w:val="000000" w:themeColor="text1"/>
        </w:rPr>
        <w:t>n Ländern mit niedrigem und mittlerem Einkommen</w:t>
      </w:r>
      <w:r>
        <w:rPr>
          <w:rFonts w:asciiTheme="majorHAnsi" w:hAnsiTheme="majorHAnsi"/>
          <w:b/>
          <w:color w:val="000000" w:themeColor="text1"/>
        </w:rPr>
        <w:t xml:space="preserve"> </w:t>
      </w:r>
      <w:r w:rsidRPr="0059140E">
        <w:rPr>
          <w:rFonts w:asciiTheme="majorHAnsi" w:hAnsiTheme="majorHAnsi"/>
          <w:b/>
          <w:color w:val="000000" w:themeColor="text1"/>
        </w:rPr>
        <w:t>rund 65 Prozent</w:t>
      </w:r>
      <w:r w:rsidR="00D63253">
        <w:rPr>
          <w:rFonts w:asciiTheme="majorHAnsi" w:hAnsiTheme="majorHAnsi" w:cstheme="majorHAnsi"/>
          <w:b/>
          <w:color w:val="auto"/>
        </w:rPr>
        <w:br/>
      </w:r>
      <w:r w:rsidR="00C011F6" w:rsidRPr="00286E73">
        <w:rPr>
          <w:rFonts w:asciiTheme="majorHAnsi" w:hAnsiTheme="majorHAnsi" w:cstheme="majorHAnsi"/>
          <w:color w:val="auto"/>
        </w:rPr>
        <w:t>In Ländern mit niedrigem und mittlerem Einkommen, in denen derzeit rund 65 Prozent aller Krebstodesfälle verzeichnet werden, nehmen Krebserkrankungen zu. Zum ersten Mal untersuchte der Index die Bemühungen von Unternehmen, den Zugang zu Krebsmedikamenten zu verbessern. Der Fokus lag dabei auf den Arzneimitteln, die von der WHO als essenzielle Medikamente für das Gesundheitswesen angesehen werden. 72 solcher Produkte wurden bereits identifiziert. Novartis hat den grössten Teil davon in seinem Portfolio, einschliesslich der Hälfte der Krebsprodukte, die über eine Zugangsinitiative vermarktet werden.</w:t>
      </w:r>
    </w:p>
    <w:p w14:paraId="6A78331E" w14:textId="77777777" w:rsidR="00C011F6" w:rsidRPr="00286E73" w:rsidRDefault="00C011F6" w:rsidP="00286E73">
      <w:pPr>
        <w:rPr>
          <w:rFonts w:asciiTheme="majorHAnsi" w:hAnsiTheme="majorHAnsi" w:cstheme="majorHAnsi"/>
          <w:color w:val="auto"/>
        </w:rPr>
      </w:pPr>
      <w:r w:rsidRPr="00286E73">
        <w:rPr>
          <w:rFonts w:asciiTheme="majorHAnsi" w:hAnsiTheme="majorHAnsi" w:cstheme="majorHAnsi"/>
          <w:color w:val="auto"/>
        </w:rPr>
        <w:t>Doch bleiben solche Initiativen für Krebsprodukte während der Forschungs- und Entwicklungsphase weit hinter denen für übertragbare Krankheiten. Es gibt Pläne für rund 5 Prozent der Krebsmedikamente, die sich in einem späteren Entwicklungsstadium befinden. Dem gegenüber stehen 54 Prozent der Medikamente im Bereich übertragbarer Krankheiten.</w:t>
      </w:r>
    </w:p>
    <w:p w14:paraId="4B4DF19D" w14:textId="26D3A1EF" w:rsidR="004A5E5D" w:rsidRDefault="00C011F6" w:rsidP="00286E73">
      <w:pPr>
        <w:rPr>
          <w:rFonts w:asciiTheme="majorHAnsi" w:hAnsiTheme="majorHAnsi" w:cstheme="majorHAnsi"/>
          <w:color w:val="auto"/>
        </w:rPr>
      </w:pPr>
      <w:bookmarkStart w:id="9" w:name="_Hlk529510814"/>
      <w:r w:rsidRPr="00286E73">
        <w:rPr>
          <w:rFonts w:asciiTheme="majorHAnsi" w:hAnsiTheme="majorHAnsi" w:cstheme="majorHAnsi"/>
          <w:color w:val="auto"/>
        </w:rPr>
        <w:t>«Das öffentliche Gesundheitswesen hat in den vergangenen Jahrzehnten grosse Fortschritte gemacht. Alle von uns untersuchten Pharmaunternehmen ergreifen Massnahmen bis zu einem gewissen Grad. Um jedoch die Lücken zu schliessen, die beim Zugang zu Medikamenten klaffen, müssen wir mehr Unternehmen an einen Tisch bringen», sagt Iyer.</w:t>
      </w:r>
      <w:r w:rsidR="004A5E5D">
        <w:rPr>
          <w:rFonts w:asciiTheme="majorHAnsi" w:hAnsiTheme="majorHAnsi" w:cstheme="majorHAnsi"/>
          <w:color w:val="auto"/>
        </w:rPr>
        <w:t xml:space="preserve"> </w:t>
      </w:r>
    </w:p>
    <w:p w14:paraId="4F528253" w14:textId="77777777" w:rsidR="00AE4251" w:rsidRDefault="004A5E5D" w:rsidP="00286E73">
      <w:pPr>
        <w:pStyle w:val="ListParagraph"/>
        <w:numPr>
          <w:ilvl w:val="0"/>
          <w:numId w:val="41"/>
        </w:numPr>
        <w:jc w:val="center"/>
        <w:rPr>
          <w:rFonts w:asciiTheme="majorHAnsi" w:hAnsiTheme="majorHAnsi" w:cstheme="majorHAnsi"/>
          <w:color w:val="auto"/>
        </w:rPr>
      </w:pPr>
      <w:r w:rsidRPr="00AE4251">
        <w:rPr>
          <w:rFonts w:asciiTheme="majorHAnsi" w:hAnsiTheme="majorHAnsi" w:cstheme="majorHAnsi"/>
          <w:color w:val="auto"/>
        </w:rPr>
        <w:t>ENDE</w:t>
      </w:r>
      <w:r w:rsidR="00BB20AA" w:rsidRPr="00AE4251">
        <w:rPr>
          <w:rFonts w:asciiTheme="majorHAnsi" w:hAnsiTheme="majorHAnsi" w:cstheme="majorHAnsi"/>
          <w:color w:val="auto"/>
        </w:rPr>
        <w:t xml:space="preserve"> DER PRESSEMELDUNG</w:t>
      </w:r>
      <w:r w:rsidR="00AE4251" w:rsidRPr="00AE4251">
        <w:rPr>
          <w:rFonts w:asciiTheme="majorHAnsi" w:hAnsiTheme="majorHAnsi" w:cstheme="majorHAnsi"/>
          <w:color w:val="auto"/>
        </w:rPr>
        <w:t xml:space="preserve">    </w:t>
      </w:r>
      <w:r w:rsidR="00AE4251">
        <w:rPr>
          <w:rFonts w:asciiTheme="majorHAnsi" w:hAnsiTheme="majorHAnsi" w:cstheme="majorHAnsi"/>
          <w:color w:val="auto"/>
        </w:rPr>
        <w:t xml:space="preserve">- </w:t>
      </w:r>
      <w:bookmarkEnd w:id="9"/>
    </w:p>
    <w:p w14:paraId="149E75AE" w14:textId="0004B2F8" w:rsidR="00493C4D" w:rsidRPr="00AE4251" w:rsidRDefault="00493C4D" w:rsidP="00AE4251">
      <w:pPr>
        <w:rPr>
          <w:rFonts w:asciiTheme="majorHAnsi" w:hAnsiTheme="majorHAnsi" w:cstheme="majorHAnsi"/>
          <w:color w:val="auto"/>
          <w:sz w:val="20"/>
          <w:szCs w:val="20"/>
        </w:rPr>
      </w:pPr>
      <w:r w:rsidRPr="00AE4251">
        <w:rPr>
          <w:rFonts w:asciiTheme="majorHAnsi" w:hAnsiTheme="majorHAnsi" w:cstheme="majorHAnsi"/>
          <w:b/>
          <w:color w:val="auto"/>
          <w:sz w:val="20"/>
          <w:szCs w:val="20"/>
          <w:u w:val="single"/>
        </w:rPr>
        <w:t>Redactionelle Informationen</w:t>
      </w:r>
    </w:p>
    <w:p w14:paraId="72CF8133" w14:textId="19094B67" w:rsidR="00C011F6" w:rsidRPr="00AE4251" w:rsidRDefault="00C011F6" w:rsidP="00286E73">
      <w:pPr>
        <w:rPr>
          <w:rFonts w:asciiTheme="majorHAnsi" w:hAnsiTheme="majorHAnsi" w:cstheme="majorHAnsi"/>
          <w:color w:val="auto"/>
          <w:sz w:val="20"/>
          <w:szCs w:val="20"/>
        </w:rPr>
      </w:pPr>
      <w:r w:rsidRPr="00AE4251">
        <w:rPr>
          <w:rFonts w:asciiTheme="majorHAnsi" w:hAnsiTheme="majorHAnsi" w:cstheme="majorHAnsi"/>
          <w:b/>
          <w:color w:val="auto"/>
          <w:sz w:val="20"/>
          <w:szCs w:val="20"/>
        </w:rPr>
        <w:t>Media-Material</w:t>
      </w:r>
      <w:r w:rsidR="00286E73" w:rsidRPr="00AE4251">
        <w:rPr>
          <w:rFonts w:asciiTheme="majorHAnsi" w:hAnsiTheme="majorHAnsi" w:cstheme="majorHAnsi"/>
          <w:b/>
          <w:color w:val="auto"/>
          <w:sz w:val="20"/>
          <w:szCs w:val="20"/>
        </w:rPr>
        <w:t>:</w:t>
      </w:r>
      <w:r w:rsidR="00286E73" w:rsidRPr="00AE4251">
        <w:rPr>
          <w:rFonts w:asciiTheme="majorHAnsi" w:hAnsiTheme="majorHAnsi" w:cstheme="majorHAnsi"/>
          <w:color w:val="auto"/>
          <w:sz w:val="20"/>
          <w:szCs w:val="20"/>
        </w:rPr>
        <w:t xml:space="preserve">  </w:t>
      </w:r>
      <w:r w:rsidRPr="00AE4251">
        <w:rPr>
          <w:rFonts w:asciiTheme="majorHAnsi" w:hAnsiTheme="majorHAnsi" w:cstheme="majorHAnsi"/>
          <w:color w:val="auto"/>
          <w:sz w:val="20"/>
          <w:szCs w:val="20"/>
        </w:rPr>
        <w:t>Das Gesamtranking, Grafiken und Zahlen der wichtigsten Ergebnisse des Berichts sind auf Anfrage verfügbar.</w:t>
      </w:r>
    </w:p>
    <w:p w14:paraId="1701A1EE" w14:textId="653B4D0B" w:rsidR="00C011F6" w:rsidRPr="00AE4251" w:rsidRDefault="00C011F6" w:rsidP="00286E73">
      <w:pPr>
        <w:rPr>
          <w:rFonts w:asciiTheme="majorHAnsi" w:hAnsiTheme="majorHAnsi" w:cstheme="majorHAnsi"/>
          <w:color w:val="auto"/>
          <w:sz w:val="20"/>
          <w:szCs w:val="20"/>
          <w:lang w:val="nl-NL"/>
        </w:rPr>
      </w:pPr>
      <w:r w:rsidRPr="00AE4251">
        <w:rPr>
          <w:rFonts w:asciiTheme="majorHAnsi" w:hAnsiTheme="majorHAnsi" w:cstheme="majorHAnsi"/>
          <w:b/>
          <w:color w:val="auto"/>
          <w:sz w:val="20"/>
          <w:szCs w:val="20"/>
          <w:lang w:val="nl-NL"/>
        </w:rPr>
        <w:t>Übe</w:t>
      </w:r>
      <w:r w:rsidR="00286E73" w:rsidRPr="00AE4251">
        <w:rPr>
          <w:rFonts w:asciiTheme="majorHAnsi" w:hAnsiTheme="majorHAnsi" w:cstheme="majorHAnsi"/>
          <w:b/>
          <w:color w:val="auto"/>
          <w:sz w:val="20"/>
          <w:szCs w:val="20"/>
          <w:lang w:val="nl-NL"/>
        </w:rPr>
        <w:t>r den Access to Medicine Index</w:t>
      </w:r>
      <w:r w:rsidR="00286E73" w:rsidRPr="00AE4251">
        <w:rPr>
          <w:rFonts w:asciiTheme="majorHAnsi" w:hAnsiTheme="majorHAnsi" w:cstheme="majorHAnsi"/>
          <w:color w:val="auto"/>
          <w:sz w:val="20"/>
          <w:szCs w:val="20"/>
          <w:lang w:val="nl-NL"/>
        </w:rPr>
        <w:t xml:space="preserve">: </w:t>
      </w:r>
      <w:r w:rsidRPr="00AE4251">
        <w:rPr>
          <w:rFonts w:asciiTheme="majorHAnsi" w:hAnsiTheme="majorHAnsi" w:cstheme="majorHAnsi"/>
          <w:color w:val="auto"/>
          <w:sz w:val="20"/>
          <w:szCs w:val="20"/>
        </w:rPr>
        <w:t>Der Access to Medicine Index analysiert 20 der grössten forschenden Pharmaunternehmen, die Produkte gegen die hohe Krankheitslast in Ländern mit niedrigem und mittlerem Einkommen führen. Im Index werden diese Unternehmen in sieben Unternehmensbereichen eingestuft hinsichtlich ihrer Bemühungen um die Verbesserung des Zugangs zu Medikamenten. Der Index identifiziert bewährte Verfahren, zeigt Fortschritte und deckt auf, wo noch entscheidende Massnahmen erforderlich sind. Er wird alle zwei Jahre von der Access to Medicine Foundation veröffentlicht, einer unabhängigen Non-Profit-Organisation, unterstützt von der britischen Regierung (UK AID), dem niederländischen Aussenministerium, dem niederländischen Ministerium für Gesundheit, Wohlfahrt und Sport sowie der Bill &amp; Melinda Gates Stiftung.</w:t>
      </w:r>
    </w:p>
    <w:p w14:paraId="0D02975F" w14:textId="2994DB65" w:rsidR="00C011F6" w:rsidRPr="00AE4251" w:rsidRDefault="00C011F6" w:rsidP="00286E73">
      <w:pPr>
        <w:rPr>
          <w:rFonts w:asciiTheme="majorHAnsi" w:hAnsiTheme="majorHAnsi" w:cstheme="majorHAnsi"/>
          <w:b/>
          <w:color w:val="auto"/>
          <w:sz w:val="20"/>
          <w:szCs w:val="20"/>
        </w:rPr>
      </w:pPr>
      <w:r w:rsidRPr="00AE4251">
        <w:rPr>
          <w:rFonts w:asciiTheme="majorHAnsi" w:hAnsiTheme="majorHAnsi" w:cstheme="majorHAnsi"/>
          <w:b/>
          <w:color w:val="auto"/>
          <w:sz w:val="20"/>
          <w:szCs w:val="20"/>
        </w:rPr>
        <w:t xml:space="preserve">Für mehr Informationen oder bei Medien-Anfragen kontaktieren Sie bitte: </w:t>
      </w:r>
      <w:r w:rsidR="00493C4D" w:rsidRPr="00AE4251">
        <w:rPr>
          <w:rFonts w:asciiTheme="majorHAnsi" w:hAnsiTheme="majorHAnsi" w:cstheme="majorHAnsi"/>
          <w:b/>
          <w:color w:val="auto"/>
          <w:sz w:val="20"/>
          <w:szCs w:val="20"/>
        </w:rPr>
        <w:br/>
      </w:r>
      <w:r w:rsidRPr="00AE4251">
        <w:rPr>
          <w:rFonts w:asciiTheme="majorHAnsi" w:hAnsiTheme="majorHAnsi" w:cstheme="majorHAnsi"/>
          <w:color w:val="auto"/>
          <w:sz w:val="20"/>
          <w:szCs w:val="20"/>
        </w:rPr>
        <w:t>Suzanne Wolf</w:t>
      </w:r>
      <w:r w:rsidRPr="00AE4251">
        <w:rPr>
          <w:rFonts w:asciiTheme="majorHAnsi" w:hAnsiTheme="majorHAnsi" w:cstheme="majorHAnsi"/>
          <w:color w:val="auto"/>
          <w:sz w:val="20"/>
          <w:szCs w:val="20"/>
        </w:rPr>
        <w:br/>
        <w:t>Telefon: + 31 6 29 40 40 90 oder +31 20 215 3535</w:t>
      </w:r>
      <w:r w:rsidRPr="00AE4251">
        <w:rPr>
          <w:rFonts w:asciiTheme="majorHAnsi" w:hAnsiTheme="majorHAnsi" w:cstheme="majorHAnsi"/>
          <w:color w:val="auto"/>
          <w:sz w:val="20"/>
          <w:szCs w:val="20"/>
        </w:rPr>
        <w:br/>
        <w:t xml:space="preserve">E-Mail: </w:t>
      </w:r>
      <w:hyperlink r:id="rId8" w:history="1">
        <w:r w:rsidRPr="00AE4251">
          <w:rPr>
            <w:rStyle w:val="Hyperlink"/>
            <w:rFonts w:asciiTheme="majorHAnsi" w:hAnsiTheme="majorHAnsi" w:cstheme="majorHAnsi"/>
            <w:color w:val="auto"/>
            <w:sz w:val="20"/>
            <w:szCs w:val="20"/>
          </w:rPr>
          <w:t>swolf@accesstomedicinefoundation.org</w:t>
        </w:r>
      </w:hyperlink>
      <w:r w:rsidRPr="00AE4251">
        <w:rPr>
          <w:rFonts w:asciiTheme="majorHAnsi" w:hAnsiTheme="majorHAnsi" w:cstheme="majorHAnsi"/>
          <w:color w:val="auto"/>
          <w:sz w:val="20"/>
          <w:szCs w:val="20"/>
        </w:rPr>
        <w:br/>
        <w:t xml:space="preserve">Website: </w:t>
      </w:r>
      <w:hyperlink r:id="rId9" w:history="1">
        <w:r w:rsidRPr="00AE4251">
          <w:rPr>
            <w:rStyle w:val="Hyperlink"/>
            <w:rFonts w:asciiTheme="majorHAnsi" w:hAnsiTheme="majorHAnsi" w:cstheme="majorHAnsi"/>
            <w:color w:val="auto"/>
            <w:sz w:val="20"/>
            <w:szCs w:val="20"/>
          </w:rPr>
          <w:t>www.accesstomedicinefoundation.org</w:t>
        </w:r>
      </w:hyperlink>
    </w:p>
    <w:p w14:paraId="09472FEB" w14:textId="67690C72" w:rsidR="00C95C8B" w:rsidRPr="00AE4251" w:rsidRDefault="00C95C8B" w:rsidP="00286E73">
      <w:pPr>
        <w:rPr>
          <w:rFonts w:asciiTheme="majorHAnsi" w:hAnsiTheme="majorHAnsi" w:cstheme="majorHAnsi"/>
          <w:color w:val="auto"/>
          <w:sz w:val="20"/>
          <w:szCs w:val="20"/>
        </w:rPr>
      </w:pPr>
    </w:p>
    <w:sectPr w:rsidR="00C95C8B" w:rsidRPr="00AE4251" w:rsidSect="00514E3D">
      <w:headerReference w:type="default" r:id="rId10"/>
      <w:footerReference w:type="default" r:id="rId11"/>
      <w:pgSz w:w="11906" w:h="16838"/>
      <w:pgMar w:top="1417" w:right="1417" w:bottom="28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A915C9" w16cid:durableId="1F8FA8D5"/>
  <w16cid:commentId w16cid:paraId="6EBEBCD1" w16cid:durableId="1F8FBD3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87A2A3" w14:textId="77777777" w:rsidR="001170C1" w:rsidRDefault="001170C1" w:rsidP="00ED559A">
      <w:pPr>
        <w:spacing w:after="0" w:line="240" w:lineRule="auto"/>
      </w:pPr>
      <w:r>
        <w:separator/>
      </w:r>
    </w:p>
  </w:endnote>
  <w:endnote w:type="continuationSeparator" w:id="0">
    <w:p w14:paraId="5E75652B" w14:textId="77777777" w:rsidR="001170C1" w:rsidRDefault="001170C1" w:rsidP="00ED5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8D26B" w14:textId="77777777" w:rsidR="001C01DA" w:rsidRPr="009F3558" w:rsidRDefault="001C01DA" w:rsidP="00514E3D">
    <w:pPr>
      <w:pStyle w:val="Footer"/>
      <w:spacing w:line="260" w:lineRule="atLeast"/>
      <w:rPr>
        <w:rFonts w:ascii="Arial" w:hAnsi="Arial" w:cs="Arial"/>
        <w:color w:val="404040" w:themeColor="text1" w:themeTint="BF"/>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9D4F1" w14:textId="77777777" w:rsidR="001170C1" w:rsidRDefault="001170C1" w:rsidP="00ED559A">
      <w:pPr>
        <w:spacing w:after="0" w:line="240" w:lineRule="auto"/>
      </w:pPr>
      <w:r>
        <w:separator/>
      </w:r>
    </w:p>
  </w:footnote>
  <w:footnote w:type="continuationSeparator" w:id="0">
    <w:p w14:paraId="4090C0FE" w14:textId="77777777" w:rsidR="001170C1" w:rsidRDefault="001170C1" w:rsidP="00ED5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E66C3" w14:textId="77777777" w:rsidR="007007A1" w:rsidRDefault="007007A1" w:rsidP="007007A1">
    <w:pPr>
      <w:pStyle w:val="Header"/>
      <w:rPr>
        <w:lang w:val="en-GB"/>
      </w:rPr>
    </w:pPr>
  </w:p>
  <w:p w14:paraId="0D97839E" w14:textId="5E779547" w:rsidR="00B27C58" w:rsidRDefault="007007A1" w:rsidP="00286E73">
    <w:pPr>
      <w:pStyle w:val="Header"/>
      <w:jc w:val="center"/>
    </w:pPr>
    <w:r w:rsidRPr="008A4A32">
      <w:rPr>
        <w:rFonts w:asciiTheme="majorHAnsi" w:hAnsiTheme="majorHAnsi"/>
        <w:b/>
        <w:lang w:val="en-GB"/>
      </w:rPr>
      <w:t>P</w:t>
    </w:r>
    <w:r>
      <w:rPr>
        <w:rFonts w:asciiTheme="majorHAnsi" w:hAnsiTheme="majorHAnsi"/>
        <w:b/>
        <w:lang w:val="en-GB"/>
      </w:rPr>
      <w:t xml:space="preserve">RESSEMELDUNG </w:t>
    </w:r>
  </w:p>
  <w:p w14:paraId="2089129D" w14:textId="77777777" w:rsidR="00B27C58" w:rsidRDefault="00B27C5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C43ED"/>
    <w:multiLevelType w:val="hybridMultilevel"/>
    <w:tmpl w:val="17DA48F4"/>
    <w:lvl w:ilvl="0" w:tplc="6E007BFA">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2851E2"/>
    <w:multiLevelType w:val="hybridMultilevel"/>
    <w:tmpl w:val="16DA01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C71B1F"/>
    <w:multiLevelType w:val="hybridMultilevel"/>
    <w:tmpl w:val="3758A6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800F5D"/>
    <w:multiLevelType w:val="hybridMultilevel"/>
    <w:tmpl w:val="05469F22"/>
    <w:lvl w:ilvl="0" w:tplc="6E007BFA">
      <w:start w:val="1"/>
      <w:numFmt w:val="bullet"/>
      <w:lvlText w:val="-"/>
      <w:lvlJc w:val="left"/>
      <w:pPr>
        <w:ind w:left="720" w:hanging="360"/>
      </w:pPr>
      <w:rPr>
        <w:rFonts w:ascii="Times New Roman" w:hAnsi="Times New Roman"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BED38F4"/>
    <w:multiLevelType w:val="hybridMultilevel"/>
    <w:tmpl w:val="69F0BB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DC60B1B"/>
    <w:multiLevelType w:val="hybridMultilevel"/>
    <w:tmpl w:val="7CD210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E407176"/>
    <w:multiLevelType w:val="hybridMultilevel"/>
    <w:tmpl w:val="2A44C1B2"/>
    <w:lvl w:ilvl="0" w:tplc="F9221A4C">
      <w:numFmt w:val="bullet"/>
      <w:lvlText w:val="•"/>
      <w:lvlJc w:val="left"/>
      <w:pPr>
        <w:ind w:left="1068" w:hanging="708"/>
      </w:pPr>
      <w:rPr>
        <w:rFonts w:ascii="Calibri Light" w:eastAsiaTheme="minorHAnsi"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3B40574"/>
    <w:multiLevelType w:val="hybridMultilevel"/>
    <w:tmpl w:val="E3223268"/>
    <w:lvl w:ilvl="0" w:tplc="6E007BFA">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49F5147"/>
    <w:multiLevelType w:val="hybridMultilevel"/>
    <w:tmpl w:val="C862CA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581214D"/>
    <w:multiLevelType w:val="hybridMultilevel"/>
    <w:tmpl w:val="780E2BA8"/>
    <w:lvl w:ilvl="0" w:tplc="6E007BFA">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BDD35B7"/>
    <w:multiLevelType w:val="hybridMultilevel"/>
    <w:tmpl w:val="EC760DD8"/>
    <w:lvl w:ilvl="0" w:tplc="6E007BFA">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F4E2204"/>
    <w:multiLevelType w:val="hybridMultilevel"/>
    <w:tmpl w:val="7D56E78E"/>
    <w:lvl w:ilvl="0" w:tplc="0DF279C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32B5266"/>
    <w:multiLevelType w:val="hybridMultilevel"/>
    <w:tmpl w:val="CDEEC70E"/>
    <w:lvl w:ilvl="0" w:tplc="6E007BFA">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39240FD"/>
    <w:multiLevelType w:val="hybridMultilevel"/>
    <w:tmpl w:val="DE80606E"/>
    <w:lvl w:ilvl="0" w:tplc="6E007BFA">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44F13D7"/>
    <w:multiLevelType w:val="hybridMultilevel"/>
    <w:tmpl w:val="AD30C0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8BD1954"/>
    <w:multiLevelType w:val="hybridMultilevel"/>
    <w:tmpl w:val="8BE09E9C"/>
    <w:lvl w:ilvl="0" w:tplc="6E007BFA">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2703F24"/>
    <w:multiLevelType w:val="hybridMultilevel"/>
    <w:tmpl w:val="18109F76"/>
    <w:lvl w:ilvl="0" w:tplc="6E007BFA">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64B21CB"/>
    <w:multiLevelType w:val="hybridMultilevel"/>
    <w:tmpl w:val="66DA5046"/>
    <w:lvl w:ilvl="0" w:tplc="B7AA66D4">
      <w:numFmt w:val="bullet"/>
      <w:lvlText w:val="-"/>
      <w:lvlJc w:val="left"/>
      <w:pPr>
        <w:ind w:left="1080" w:hanging="360"/>
      </w:pPr>
      <w:rPr>
        <w:rFonts w:ascii="Calibri Light" w:eastAsiaTheme="minorHAnsi" w:hAnsi="Calibri Light" w:cs="Calibri Light"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36D71479"/>
    <w:multiLevelType w:val="hybridMultilevel"/>
    <w:tmpl w:val="53DCB8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85B28E8"/>
    <w:multiLevelType w:val="hybridMultilevel"/>
    <w:tmpl w:val="1A22EA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9EA7B0E"/>
    <w:multiLevelType w:val="hybridMultilevel"/>
    <w:tmpl w:val="1CCE60F6"/>
    <w:lvl w:ilvl="0" w:tplc="0413000F">
      <w:start w:val="1"/>
      <w:numFmt w:val="decimal"/>
      <w:lvlText w:val="%1."/>
      <w:lvlJc w:val="left"/>
      <w:pPr>
        <w:ind w:left="1068" w:hanging="708"/>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16326C9"/>
    <w:multiLevelType w:val="hybridMultilevel"/>
    <w:tmpl w:val="34F630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2602B69"/>
    <w:multiLevelType w:val="hybridMultilevel"/>
    <w:tmpl w:val="3A8A1B90"/>
    <w:lvl w:ilvl="0" w:tplc="6E007BFA">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5993342"/>
    <w:multiLevelType w:val="hybridMultilevel"/>
    <w:tmpl w:val="0FA447B6"/>
    <w:lvl w:ilvl="0" w:tplc="FF8ADF32">
      <w:numFmt w:val="bullet"/>
      <w:lvlText w:val="-"/>
      <w:lvlJc w:val="left"/>
      <w:pPr>
        <w:ind w:left="720" w:hanging="360"/>
      </w:pPr>
      <w:rPr>
        <w:rFonts w:ascii="Calibri Light" w:eastAsiaTheme="minorHAnsi"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72A5113"/>
    <w:multiLevelType w:val="hybridMultilevel"/>
    <w:tmpl w:val="2DE4D7D4"/>
    <w:lvl w:ilvl="0" w:tplc="6E007BFA">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B3024B4"/>
    <w:multiLevelType w:val="hybridMultilevel"/>
    <w:tmpl w:val="7AE28C0A"/>
    <w:lvl w:ilvl="0" w:tplc="6E007BFA">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CC273D8"/>
    <w:multiLevelType w:val="hybridMultilevel"/>
    <w:tmpl w:val="0D2C90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F675F8D"/>
    <w:multiLevelType w:val="hybridMultilevel"/>
    <w:tmpl w:val="EC6EF0FE"/>
    <w:lvl w:ilvl="0" w:tplc="6E007BFA">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4D2349D"/>
    <w:multiLevelType w:val="hybridMultilevel"/>
    <w:tmpl w:val="57FE3B62"/>
    <w:lvl w:ilvl="0" w:tplc="6E007BFA">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9DF1247"/>
    <w:multiLevelType w:val="hybridMultilevel"/>
    <w:tmpl w:val="3A6EE0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02839F8"/>
    <w:multiLevelType w:val="hybridMultilevel"/>
    <w:tmpl w:val="59CA26B0"/>
    <w:lvl w:ilvl="0" w:tplc="0DF279CC">
      <w:start w:val="1"/>
      <w:numFmt w:val="bullet"/>
      <w:lvlText w:val=""/>
      <w:lvlJc w:val="left"/>
      <w:pPr>
        <w:ind w:left="1068" w:hanging="708"/>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7B132C4"/>
    <w:multiLevelType w:val="hybridMultilevel"/>
    <w:tmpl w:val="6B7CF7DC"/>
    <w:lvl w:ilvl="0" w:tplc="6E007BFA">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9036619"/>
    <w:multiLevelType w:val="hybridMultilevel"/>
    <w:tmpl w:val="2CE6DD0E"/>
    <w:lvl w:ilvl="0" w:tplc="6E007BFA">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A034B84"/>
    <w:multiLevelType w:val="hybridMultilevel"/>
    <w:tmpl w:val="9F8A1E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1EC2826"/>
    <w:multiLevelType w:val="hybridMultilevel"/>
    <w:tmpl w:val="FCB66B36"/>
    <w:lvl w:ilvl="0" w:tplc="6E007BFA">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3BB12AD"/>
    <w:multiLevelType w:val="hybridMultilevel"/>
    <w:tmpl w:val="758CD80E"/>
    <w:lvl w:ilvl="0" w:tplc="6E007BFA">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5D3642A"/>
    <w:multiLevelType w:val="hybridMultilevel"/>
    <w:tmpl w:val="C4BA9432"/>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8117801"/>
    <w:multiLevelType w:val="hybridMultilevel"/>
    <w:tmpl w:val="3FE468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8A34470"/>
    <w:multiLevelType w:val="hybridMultilevel"/>
    <w:tmpl w:val="8098C5EC"/>
    <w:lvl w:ilvl="0" w:tplc="6E007BFA">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D9332C3"/>
    <w:multiLevelType w:val="hybridMultilevel"/>
    <w:tmpl w:val="514C5CEC"/>
    <w:lvl w:ilvl="0" w:tplc="6E007BFA">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F1B7B2D"/>
    <w:multiLevelType w:val="hybridMultilevel"/>
    <w:tmpl w:val="824040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29"/>
  </w:num>
  <w:num w:numId="3">
    <w:abstractNumId w:val="5"/>
  </w:num>
  <w:num w:numId="4">
    <w:abstractNumId w:val="8"/>
  </w:num>
  <w:num w:numId="5">
    <w:abstractNumId w:val="40"/>
  </w:num>
  <w:num w:numId="6">
    <w:abstractNumId w:val="21"/>
  </w:num>
  <w:num w:numId="7">
    <w:abstractNumId w:val="33"/>
  </w:num>
  <w:num w:numId="8">
    <w:abstractNumId w:val="18"/>
  </w:num>
  <w:num w:numId="9">
    <w:abstractNumId w:val="19"/>
  </w:num>
  <w:num w:numId="10">
    <w:abstractNumId w:val="1"/>
  </w:num>
  <w:num w:numId="11">
    <w:abstractNumId w:val="3"/>
  </w:num>
  <w:num w:numId="12">
    <w:abstractNumId w:val="31"/>
  </w:num>
  <w:num w:numId="13">
    <w:abstractNumId w:val="13"/>
  </w:num>
  <w:num w:numId="14">
    <w:abstractNumId w:val="16"/>
  </w:num>
  <w:num w:numId="15">
    <w:abstractNumId w:val="9"/>
  </w:num>
  <w:num w:numId="16">
    <w:abstractNumId w:val="35"/>
  </w:num>
  <w:num w:numId="17">
    <w:abstractNumId w:val="24"/>
  </w:num>
  <w:num w:numId="18">
    <w:abstractNumId w:val="34"/>
  </w:num>
  <w:num w:numId="19">
    <w:abstractNumId w:val="38"/>
  </w:num>
  <w:num w:numId="20">
    <w:abstractNumId w:val="10"/>
  </w:num>
  <w:num w:numId="21">
    <w:abstractNumId w:val="22"/>
  </w:num>
  <w:num w:numId="22">
    <w:abstractNumId w:val="12"/>
  </w:num>
  <w:num w:numId="23">
    <w:abstractNumId w:val="36"/>
  </w:num>
  <w:num w:numId="24">
    <w:abstractNumId w:val="27"/>
  </w:num>
  <w:num w:numId="25">
    <w:abstractNumId w:val="26"/>
  </w:num>
  <w:num w:numId="26">
    <w:abstractNumId w:val="39"/>
  </w:num>
  <w:num w:numId="27">
    <w:abstractNumId w:val="28"/>
  </w:num>
  <w:num w:numId="28">
    <w:abstractNumId w:val="7"/>
  </w:num>
  <w:num w:numId="29">
    <w:abstractNumId w:val="25"/>
  </w:num>
  <w:num w:numId="30">
    <w:abstractNumId w:val="37"/>
  </w:num>
  <w:num w:numId="31">
    <w:abstractNumId w:val="32"/>
  </w:num>
  <w:num w:numId="32">
    <w:abstractNumId w:val="0"/>
  </w:num>
  <w:num w:numId="33">
    <w:abstractNumId w:val="15"/>
  </w:num>
  <w:num w:numId="34">
    <w:abstractNumId w:val="14"/>
  </w:num>
  <w:num w:numId="35">
    <w:abstractNumId w:val="11"/>
  </w:num>
  <w:num w:numId="36">
    <w:abstractNumId w:val="4"/>
  </w:num>
  <w:num w:numId="37">
    <w:abstractNumId w:val="6"/>
  </w:num>
  <w:num w:numId="38">
    <w:abstractNumId w:val="20"/>
  </w:num>
  <w:num w:numId="39">
    <w:abstractNumId w:val="30"/>
  </w:num>
  <w:num w:numId="40">
    <w:abstractNumId w:val="23"/>
  </w:num>
  <w:num w:numId="41">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A81"/>
    <w:rsid w:val="000005E1"/>
    <w:rsid w:val="000013DC"/>
    <w:rsid w:val="000030C5"/>
    <w:rsid w:val="00003A37"/>
    <w:rsid w:val="00004082"/>
    <w:rsid w:val="00010AB4"/>
    <w:rsid w:val="00011184"/>
    <w:rsid w:val="00011F3D"/>
    <w:rsid w:val="000121A8"/>
    <w:rsid w:val="00013620"/>
    <w:rsid w:val="000150CD"/>
    <w:rsid w:val="0001525E"/>
    <w:rsid w:val="000224F2"/>
    <w:rsid w:val="0002400B"/>
    <w:rsid w:val="00024262"/>
    <w:rsid w:val="000247A6"/>
    <w:rsid w:val="000271F8"/>
    <w:rsid w:val="00027EBB"/>
    <w:rsid w:val="000300B2"/>
    <w:rsid w:val="000301EA"/>
    <w:rsid w:val="00031F60"/>
    <w:rsid w:val="00033668"/>
    <w:rsid w:val="000337B2"/>
    <w:rsid w:val="000346E2"/>
    <w:rsid w:val="00037107"/>
    <w:rsid w:val="00042474"/>
    <w:rsid w:val="00042C6B"/>
    <w:rsid w:val="000451E9"/>
    <w:rsid w:val="00047D9A"/>
    <w:rsid w:val="000501D8"/>
    <w:rsid w:val="00050FD5"/>
    <w:rsid w:val="00051E58"/>
    <w:rsid w:val="00052665"/>
    <w:rsid w:val="00054DD5"/>
    <w:rsid w:val="00055B42"/>
    <w:rsid w:val="00057776"/>
    <w:rsid w:val="0006303D"/>
    <w:rsid w:val="000639F8"/>
    <w:rsid w:val="00066318"/>
    <w:rsid w:val="00066E40"/>
    <w:rsid w:val="000671CF"/>
    <w:rsid w:val="000673E6"/>
    <w:rsid w:val="0007012E"/>
    <w:rsid w:val="00070C8B"/>
    <w:rsid w:val="0007106F"/>
    <w:rsid w:val="00073427"/>
    <w:rsid w:val="00076BFE"/>
    <w:rsid w:val="000802B3"/>
    <w:rsid w:val="0008083A"/>
    <w:rsid w:val="0008137E"/>
    <w:rsid w:val="00082FF7"/>
    <w:rsid w:val="00083A0B"/>
    <w:rsid w:val="00084730"/>
    <w:rsid w:val="000852C4"/>
    <w:rsid w:val="00085565"/>
    <w:rsid w:val="00085E57"/>
    <w:rsid w:val="00090B91"/>
    <w:rsid w:val="00093CF6"/>
    <w:rsid w:val="00097413"/>
    <w:rsid w:val="0009754D"/>
    <w:rsid w:val="000976DB"/>
    <w:rsid w:val="000977B8"/>
    <w:rsid w:val="0009788F"/>
    <w:rsid w:val="000A0F94"/>
    <w:rsid w:val="000A14A4"/>
    <w:rsid w:val="000A2047"/>
    <w:rsid w:val="000A2B2B"/>
    <w:rsid w:val="000A39F0"/>
    <w:rsid w:val="000A4235"/>
    <w:rsid w:val="000A48A2"/>
    <w:rsid w:val="000A62A3"/>
    <w:rsid w:val="000A63E7"/>
    <w:rsid w:val="000A737D"/>
    <w:rsid w:val="000A76BB"/>
    <w:rsid w:val="000B0543"/>
    <w:rsid w:val="000B2B47"/>
    <w:rsid w:val="000B2BE1"/>
    <w:rsid w:val="000B3A17"/>
    <w:rsid w:val="000B4323"/>
    <w:rsid w:val="000B45A5"/>
    <w:rsid w:val="000B49C1"/>
    <w:rsid w:val="000C1367"/>
    <w:rsid w:val="000C22DA"/>
    <w:rsid w:val="000C53A7"/>
    <w:rsid w:val="000C6373"/>
    <w:rsid w:val="000C7380"/>
    <w:rsid w:val="000C7814"/>
    <w:rsid w:val="000C7D29"/>
    <w:rsid w:val="000D06AA"/>
    <w:rsid w:val="000D14BC"/>
    <w:rsid w:val="000D1A85"/>
    <w:rsid w:val="000D1E7F"/>
    <w:rsid w:val="000D25F9"/>
    <w:rsid w:val="000D695D"/>
    <w:rsid w:val="000D6D66"/>
    <w:rsid w:val="000D6FD3"/>
    <w:rsid w:val="000D7C72"/>
    <w:rsid w:val="000E00E1"/>
    <w:rsid w:val="000E0177"/>
    <w:rsid w:val="000E0D0B"/>
    <w:rsid w:val="000E3B21"/>
    <w:rsid w:val="000E43D0"/>
    <w:rsid w:val="000E59D8"/>
    <w:rsid w:val="000E75E7"/>
    <w:rsid w:val="000F1809"/>
    <w:rsid w:val="000F31B3"/>
    <w:rsid w:val="000F418B"/>
    <w:rsid w:val="000F6310"/>
    <w:rsid w:val="000F6E48"/>
    <w:rsid w:val="001016B4"/>
    <w:rsid w:val="00103026"/>
    <w:rsid w:val="00106FD2"/>
    <w:rsid w:val="001110CF"/>
    <w:rsid w:val="00111975"/>
    <w:rsid w:val="00112964"/>
    <w:rsid w:val="00113136"/>
    <w:rsid w:val="00113480"/>
    <w:rsid w:val="001139BF"/>
    <w:rsid w:val="00115721"/>
    <w:rsid w:val="0011617A"/>
    <w:rsid w:val="001170C1"/>
    <w:rsid w:val="00121DA2"/>
    <w:rsid w:val="001223D2"/>
    <w:rsid w:val="00122B68"/>
    <w:rsid w:val="0012341E"/>
    <w:rsid w:val="00123B92"/>
    <w:rsid w:val="00124AA1"/>
    <w:rsid w:val="001258EC"/>
    <w:rsid w:val="00126E1F"/>
    <w:rsid w:val="001303D8"/>
    <w:rsid w:val="00130EF1"/>
    <w:rsid w:val="00132FEB"/>
    <w:rsid w:val="0013367A"/>
    <w:rsid w:val="00133E02"/>
    <w:rsid w:val="001349AE"/>
    <w:rsid w:val="00141375"/>
    <w:rsid w:val="00141404"/>
    <w:rsid w:val="00142D37"/>
    <w:rsid w:val="00143CA9"/>
    <w:rsid w:val="00144121"/>
    <w:rsid w:val="0014468D"/>
    <w:rsid w:val="0014469B"/>
    <w:rsid w:val="00145594"/>
    <w:rsid w:val="00150ABF"/>
    <w:rsid w:val="0015147C"/>
    <w:rsid w:val="001515D9"/>
    <w:rsid w:val="00152A45"/>
    <w:rsid w:val="00152B15"/>
    <w:rsid w:val="00153021"/>
    <w:rsid w:val="00155D09"/>
    <w:rsid w:val="0015698C"/>
    <w:rsid w:val="00156BAB"/>
    <w:rsid w:val="001613B7"/>
    <w:rsid w:val="00162C58"/>
    <w:rsid w:val="0016329D"/>
    <w:rsid w:val="00163D77"/>
    <w:rsid w:val="00164D17"/>
    <w:rsid w:val="0016590C"/>
    <w:rsid w:val="00165FAF"/>
    <w:rsid w:val="0016624A"/>
    <w:rsid w:val="001708FD"/>
    <w:rsid w:val="00170DE8"/>
    <w:rsid w:val="00177722"/>
    <w:rsid w:val="00182395"/>
    <w:rsid w:val="0018286E"/>
    <w:rsid w:val="00184D9D"/>
    <w:rsid w:val="001873BC"/>
    <w:rsid w:val="001874A4"/>
    <w:rsid w:val="0019225E"/>
    <w:rsid w:val="0019332F"/>
    <w:rsid w:val="00194A58"/>
    <w:rsid w:val="0019592F"/>
    <w:rsid w:val="00197312"/>
    <w:rsid w:val="00197F82"/>
    <w:rsid w:val="001A4168"/>
    <w:rsid w:val="001A648C"/>
    <w:rsid w:val="001A7643"/>
    <w:rsid w:val="001B05E9"/>
    <w:rsid w:val="001B22EA"/>
    <w:rsid w:val="001B4B1B"/>
    <w:rsid w:val="001B4EF9"/>
    <w:rsid w:val="001B5B9C"/>
    <w:rsid w:val="001B6242"/>
    <w:rsid w:val="001B62AA"/>
    <w:rsid w:val="001B7A40"/>
    <w:rsid w:val="001C01DA"/>
    <w:rsid w:val="001C05E5"/>
    <w:rsid w:val="001C0DEF"/>
    <w:rsid w:val="001C30BE"/>
    <w:rsid w:val="001C3849"/>
    <w:rsid w:val="001C389A"/>
    <w:rsid w:val="001C573D"/>
    <w:rsid w:val="001C5C3A"/>
    <w:rsid w:val="001D0171"/>
    <w:rsid w:val="001D215E"/>
    <w:rsid w:val="001D216E"/>
    <w:rsid w:val="001D2D68"/>
    <w:rsid w:val="001D31D5"/>
    <w:rsid w:val="001D5B09"/>
    <w:rsid w:val="001D5DFC"/>
    <w:rsid w:val="001E1EF0"/>
    <w:rsid w:val="001E2CCD"/>
    <w:rsid w:val="001E523F"/>
    <w:rsid w:val="001E618C"/>
    <w:rsid w:val="001E7A64"/>
    <w:rsid w:val="001E7B0C"/>
    <w:rsid w:val="001F0394"/>
    <w:rsid w:val="001F0A2B"/>
    <w:rsid w:val="001F2717"/>
    <w:rsid w:val="001F409E"/>
    <w:rsid w:val="001F5590"/>
    <w:rsid w:val="0020083B"/>
    <w:rsid w:val="00201B57"/>
    <w:rsid w:val="0020282B"/>
    <w:rsid w:val="00205117"/>
    <w:rsid w:val="002069BA"/>
    <w:rsid w:val="002101F9"/>
    <w:rsid w:val="00210ABC"/>
    <w:rsid w:val="00211A74"/>
    <w:rsid w:val="00211C0B"/>
    <w:rsid w:val="00211F6B"/>
    <w:rsid w:val="002123E7"/>
    <w:rsid w:val="00212824"/>
    <w:rsid w:val="00216AF4"/>
    <w:rsid w:val="00216D9C"/>
    <w:rsid w:val="002217BF"/>
    <w:rsid w:val="00221FFA"/>
    <w:rsid w:val="002226D1"/>
    <w:rsid w:val="00223B1F"/>
    <w:rsid w:val="00223C99"/>
    <w:rsid w:val="00223D2F"/>
    <w:rsid w:val="002257DE"/>
    <w:rsid w:val="002266F0"/>
    <w:rsid w:val="00227081"/>
    <w:rsid w:val="00232E43"/>
    <w:rsid w:val="00233FA2"/>
    <w:rsid w:val="00234F70"/>
    <w:rsid w:val="00235352"/>
    <w:rsid w:val="00236648"/>
    <w:rsid w:val="002379ED"/>
    <w:rsid w:val="00242149"/>
    <w:rsid w:val="00243A09"/>
    <w:rsid w:val="00244F4E"/>
    <w:rsid w:val="00246B33"/>
    <w:rsid w:val="002506F4"/>
    <w:rsid w:val="00252764"/>
    <w:rsid w:val="00253305"/>
    <w:rsid w:val="00253318"/>
    <w:rsid w:val="00254035"/>
    <w:rsid w:val="00256B4D"/>
    <w:rsid w:val="00257198"/>
    <w:rsid w:val="00261983"/>
    <w:rsid w:val="00262AF8"/>
    <w:rsid w:val="002633F3"/>
    <w:rsid w:val="00264D11"/>
    <w:rsid w:val="00266328"/>
    <w:rsid w:val="002664F7"/>
    <w:rsid w:val="00270B11"/>
    <w:rsid w:val="00270D59"/>
    <w:rsid w:val="00271EAA"/>
    <w:rsid w:val="002738C2"/>
    <w:rsid w:val="00273F43"/>
    <w:rsid w:val="00274AF7"/>
    <w:rsid w:val="00275CA5"/>
    <w:rsid w:val="0027662C"/>
    <w:rsid w:val="00277133"/>
    <w:rsid w:val="00277F5F"/>
    <w:rsid w:val="002819D6"/>
    <w:rsid w:val="00282219"/>
    <w:rsid w:val="00282EE1"/>
    <w:rsid w:val="002837F5"/>
    <w:rsid w:val="00285AF1"/>
    <w:rsid w:val="00286823"/>
    <w:rsid w:val="00286E73"/>
    <w:rsid w:val="00287609"/>
    <w:rsid w:val="00291F7F"/>
    <w:rsid w:val="00292CC0"/>
    <w:rsid w:val="002937A2"/>
    <w:rsid w:val="00293A0E"/>
    <w:rsid w:val="00294B0A"/>
    <w:rsid w:val="00297919"/>
    <w:rsid w:val="00297CA9"/>
    <w:rsid w:val="002A0E4E"/>
    <w:rsid w:val="002A2C7A"/>
    <w:rsid w:val="002A44A8"/>
    <w:rsid w:val="002A4E85"/>
    <w:rsid w:val="002A66F1"/>
    <w:rsid w:val="002B04E8"/>
    <w:rsid w:val="002B1583"/>
    <w:rsid w:val="002B409A"/>
    <w:rsid w:val="002B4903"/>
    <w:rsid w:val="002B51FF"/>
    <w:rsid w:val="002C0601"/>
    <w:rsid w:val="002C33D0"/>
    <w:rsid w:val="002C3768"/>
    <w:rsid w:val="002C576B"/>
    <w:rsid w:val="002C701A"/>
    <w:rsid w:val="002C7FD2"/>
    <w:rsid w:val="002D1331"/>
    <w:rsid w:val="002D2204"/>
    <w:rsid w:val="002D3C1C"/>
    <w:rsid w:val="002D3DAB"/>
    <w:rsid w:val="002D41B1"/>
    <w:rsid w:val="002D51F6"/>
    <w:rsid w:val="002D5B07"/>
    <w:rsid w:val="002D606A"/>
    <w:rsid w:val="002D6290"/>
    <w:rsid w:val="002D652E"/>
    <w:rsid w:val="002E07D4"/>
    <w:rsid w:val="002E0B20"/>
    <w:rsid w:val="002E2A4A"/>
    <w:rsid w:val="002E373E"/>
    <w:rsid w:val="002E42E7"/>
    <w:rsid w:val="002E450E"/>
    <w:rsid w:val="002E46F8"/>
    <w:rsid w:val="002E5314"/>
    <w:rsid w:val="002E531C"/>
    <w:rsid w:val="002E7445"/>
    <w:rsid w:val="002E74FA"/>
    <w:rsid w:val="002E77A0"/>
    <w:rsid w:val="002E7D71"/>
    <w:rsid w:val="002F0332"/>
    <w:rsid w:val="002F40BE"/>
    <w:rsid w:val="002F4606"/>
    <w:rsid w:val="002F4F4C"/>
    <w:rsid w:val="002F5456"/>
    <w:rsid w:val="002F6C34"/>
    <w:rsid w:val="00300269"/>
    <w:rsid w:val="00300ADE"/>
    <w:rsid w:val="00300B0A"/>
    <w:rsid w:val="0030105E"/>
    <w:rsid w:val="003014E9"/>
    <w:rsid w:val="00303A95"/>
    <w:rsid w:val="00304073"/>
    <w:rsid w:val="00304D1F"/>
    <w:rsid w:val="00306869"/>
    <w:rsid w:val="00310704"/>
    <w:rsid w:val="00313C4C"/>
    <w:rsid w:val="00315E67"/>
    <w:rsid w:val="00315FF9"/>
    <w:rsid w:val="00320093"/>
    <w:rsid w:val="00321A0A"/>
    <w:rsid w:val="00322398"/>
    <w:rsid w:val="00322D2C"/>
    <w:rsid w:val="0032336F"/>
    <w:rsid w:val="00324EF2"/>
    <w:rsid w:val="00325131"/>
    <w:rsid w:val="00327AFA"/>
    <w:rsid w:val="00330D23"/>
    <w:rsid w:val="00333366"/>
    <w:rsid w:val="003344A9"/>
    <w:rsid w:val="00334F8A"/>
    <w:rsid w:val="003353EA"/>
    <w:rsid w:val="00337A81"/>
    <w:rsid w:val="003400F3"/>
    <w:rsid w:val="00340D6B"/>
    <w:rsid w:val="003415E0"/>
    <w:rsid w:val="003418B1"/>
    <w:rsid w:val="00342E19"/>
    <w:rsid w:val="003432A4"/>
    <w:rsid w:val="00343300"/>
    <w:rsid w:val="00343A71"/>
    <w:rsid w:val="003457F2"/>
    <w:rsid w:val="00346674"/>
    <w:rsid w:val="003504C3"/>
    <w:rsid w:val="00355575"/>
    <w:rsid w:val="003559E0"/>
    <w:rsid w:val="00356ACE"/>
    <w:rsid w:val="003576A4"/>
    <w:rsid w:val="00357797"/>
    <w:rsid w:val="003602C7"/>
    <w:rsid w:val="00361C31"/>
    <w:rsid w:val="00362D16"/>
    <w:rsid w:val="00363C75"/>
    <w:rsid w:val="00365FFB"/>
    <w:rsid w:val="00366724"/>
    <w:rsid w:val="0036790E"/>
    <w:rsid w:val="00370515"/>
    <w:rsid w:val="00370656"/>
    <w:rsid w:val="00371058"/>
    <w:rsid w:val="00371FE3"/>
    <w:rsid w:val="00372A14"/>
    <w:rsid w:val="00377F2E"/>
    <w:rsid w:val="00381AAC"/>
    <w:rsid w:val="00382325"/>
    <w:rsid w:val="00383653"/>
    <w:rsid w:val="00386F80"/>
    <w:rsid w:val="00387531"/>
    <w:rsid w:val="003903B1"/>
    <w:rsid w:val="0039041A"/>
    <w:rsid w:val="00391C2E"/>
    <w:rsid w:val="00393DC0"/>
    <w:rsid w:val="00394A07"/>
    <w:rsid w:val="00397223"/>
    <w:rsid w:val="003A1553"/>
    <w:rsid w:val="003A231C"/>
    <w:rsid w:val="003A2858"/>
    <w:rsid w:val="003A3398"/>
    <w:rsid w:val="003A4CF9"/>
    <w:rsid w:val="003A4D65"/>
    <w:rsid w:val="003B1D5F"/>
    <w:rsid w:val="003B4886"/>
    <w:rsid w:val="003B6544"/>
    <w:rsid w:val="003B6EBD"/>
    <w:rsid w:val="003B7040"/>
    <w:rsid w:val="003C12AF"/>
    <w:rsid w:val="003C19A0"/>
    <w:rsid w:val="003C3464"/>
    <w:rsid w:val="003C63F1"/>
    <w:rsid w:val="003C6628"/>
    <w:rsid w:val="003D49DE"/>
    <w:rsid w:val="003D5D0E"/>
    <w:rsid w:val="003D694B"/>
    <w:rsid w:val="003E073A"/>
    <w:rsid w:val="003E082A"/>
    <w:rsid w:val="003E11CC"/>
    <w:rsid w:val="003E18CB"/>
    <w:rsid w:val="003E1D3B"/>
    <w:rsid w:val="003E4E6E"/>
    <w:rsid w:val="003E7ACB"/>
    <w:rsid w:val="003F18B7"/>
    <w:rsid w:val="003F1BDA"/>
    <w:rsid w:val="003F33E2"/>
    <w:rsid w:val="003F41C1"/>
    <w:rsid w:val="003F65D0"/>
    <w:rsid w:val="003F6FE5"/>
    <w:rsid w:val="00406A07"/>
    <w:rsid w:val="00406D81"/>
    <w:rsid w:val="00410887"/>
    <w:rsid w:val="00411931"/>
    <w:rsid w:val="004130C6"/>
    <w:rsid w:val="004130D1"/>
    <w:rsid w:val="0041357E"/>
    <w:rsid w:val="004166C2"/>
    <w:rsid w:val="004171AE"/>
    <w:rsid w:val="004203AC"/>
    <w:rsid w:val="004204A3"/>
    <w:rsid w:val="0042052B"/>
    <w:rsid w:val="004209C2"/>
    <w:rsid w:val="0042161B"/>
    <w:rsid w:val="004260F6"/>
    <w:rsid w:val="004262EC"/>
    <w:rsid w:val="00427311"/>
    <w:rsid w:val="00427C02"/>
    <w:rsid w:val="0043205E"/>
    <w:rsid w:val="0043417F"/>
    <w:rsid w:val="004351C1"/>
    <w:rsid w:val="00441F0F"/>
    <w:rsid w:val="00443A2B"/>
    <w:rsid w:val="004464C3"/>
    <w:rsid w:val="00447F85"/>
    <w:rsid w:val="00450024"/>
    <w:rsid w:val="00453A55"/>
    <w:rsid w:val="0045613F"/>
    <w:rsid w:val="004574EA"/>
    <w:rsid w:val="0046286B"/>
    <w:rsid w:val="004631DD"/>
    <w:rsid w:val="004648B0"/>
    <w:rsid w:val="0046550F"/>
    <w:rsid w:val="00472ABB"/>
    <w:rsid w:val="00472E10"/>
    <w:rsid w:val="00473A6C"/>
    <w:rsid w:val="00474070"/>
    <w:rsid w:val="00481553"/>
    <w:rsid w:val="004839E8"/>
    <w:rsid w:val="00483C16"/>
    <w:rsid w:val="004846E1"/>
    <w:rsid w:val="00484727"/>
    <w:rsid w:val="00486149"/>
    <w:rsid w:val="00486FD4"/>
    <w:rsid w:val="00491873"/>
    <w:rsid w:val="00493C4D"/>
    <w:rsid w:val="00494151"/>
    <w:rsid w:val="00494199"/>
    <w:rsid w:val="004955EA"/>
    <w:rsid w:val="0049692D"/>
    <w:rsid w:val="00497305"/>
    <w:rsid w:val="004A0610"/>
    <w:rsid w:val="004A078B"/>
    <w:rsid w:val="004A22B7"/>
    <w:rsid w:val="004A3552"/>
    <w:rsid w:val="004A368A"/>
    <w:rsid w:val="004A3C6A"/>
    <w:rsid w:val="004A4E6C"/>
    <w:rsid w:val="004A5E5D"/>
    <w:rsid w:val="004A6644"/>
    <w:rsid w:val="004B063E"/>
    <w:rsid w:val="004B27D0"/>
    <w:rsid w:val="004B31A8"/>
    <w:rsid w:val="004B3744"/>
    <w:rsid w:val="004B63C0"/>
    <w:rsid w:val="004B63E2"/>
    <w:rsid w:val="004B65BE"/>
    <w:rsid w:val="004C014C"/>
    <w:rsid w:val="004C2D32"/>
    <w:rsid w:val="004C51EA"/>
    <w:rsid w:val="004C56E1"/>
    <w:rsid w:val="004C6BBE"/>
    <w:rsid w:val="004C6F10"/>
    <w:rsid w:val="004C78CE"/>
    <w:rsid w:val="004D197B"/>
    <w:rsid w:val="004D1DD5"/>
    <w:rsid w:val="004D53B0"/>
    <w:rsid w:val="004D64EE"/>
    <w:rsid w:val="004D7CAB"/>
    <w:rsid w:val="004E1D79"/>
    <w:rsid w:val="004E1F63"/>
    <w:rsid w:val="004E5585"/>
    <w:rsid w:val="004E6B4F"/>
    <w:rsid w:val="004F2320"/>
    <w:rsid w:val="004F4693"/>
    <w:rsid w:val="004F4FD9"/>
    <w:rsid w:val="004F5639"/>
    <w:rsid w:val="004F5B3E"/>
    <w:rsid w:val="0050013E"/>
    <w:rsid w:val="00500217"/>
    <w:rsid w:val="0050130B"/>
    <w:rsid w:val="005017BE"/>
    <w:rsid w:val="005052AA"/>
    <w:rsid w:val="00505C60"/>
    <w:rsid w:val="00513F16"/>
    <w:rsid w:val="0051448B"/>
    <w:rsid w:val="005147E3"/>
    <w:rsid w:val="00514E3D"/>
    <w:rsid w:val="00516D9F"/>
    <w:rsid w:val="00517125"/>
    <w:rsid w:val="0051716B"/>
    <w:rsid w:val="005214D7"/>
    <w:rsid w:val="00523E78"/>
    <w:rsid w:val="005254D7"/>
    <w:rsid w:val="00526CD5"/>
    <w:rsid w:val="00526EB0"/>
    <w:rsid w:val="00526F38"/>
    <w:rsid w:val="00530BF9"/>
    <w:rsid w:val="00530FAE"/>
    <w:rsid w:val="00531A3F"/>
    <w:rsid w:val="00531BCD"/>
    <w:rsid w:val="0053379D"/>
    <w:rsid w:val="005363F4"/>
    <w:rsid w:val="00537AAC"/>
    <w:rsid w:val="00537FA4"/>
    <w:rsid w:val="0054240D"/>
    <w:rsid w:val="0054283A"/>
    <w:rsid w:val="0054722F"/>
    <w:rsid w:val="00551CC1"/>
    <w:rsid w:val="005525BF"/>
    <w:rsid w:val="0055487C"/>
    <w:rsid w:val="00554B4F"/>
    <w:rsid w:val="005557A9"/>
    <w:rsid w:val="00556964"/>
    <w:rsid w:val="005570CC"/>
    <w:rsid w:val="00557B37"/>
    <w:rsid w:val="00561C1E"/>
    <w:rsid w:val="005645E2"/>
    <w:rsid w:val="00566BB7"/>
    <w:rsid w:val="00567183"/>
    <w:rsid w:val="0057041F"/>
    <w:rsid w:val="0057341E"/>
    <w:rsid w:val="00575AB4"/>
    <w:rsid w:val="00577E9D"/>
    <w:rsid w:val="00580F45"/>
    <w:rsid w:val="00582CA4"/>
    <w:rsid w:val="00584B6B"/>
    <w:rsid w:val="00587166"/>
    <w:rsid w:val="00592AA9"/>
    <w:rsid w:val="00596746"/>
    <w:rsid w:val="00596B35"/>
    <w:rsid w:val="00597086"/>
    <w:rsid w:val="00597347"/>
    <w:rsid w:val="00597562"/>
    <w:rsid w:val="00597B32"/>
    <w:rsid w:val="00597D2C"/>
    <w:rsid w:val="005A2162"/>
    <w:rsid w:val="005A2A0A"/>
    <w:rsid w:val="005A2DC2"/>
    <w:rsid w:val="005A319E"/>
    <w:rsid w:val="005A4CEF"/>
    <w:rsid w:val="005A4E61"/>
    <w:rsid w:val="005B1CAD"/>
    <w:rsid w:val="005B4153"/>
    <w:rsid w:val="005B6937"/>
    <w:rsid w:val="005B69D2"/>
    <w:rsid w:val="005C066D"/>
    <w:rsid w:val="005C1EF4"/>
    <w:rsid w:val="005C2732"/>
    <w:rsid w:val="005C54C2"/>
    <w:rsid w:val="005C78E5"/>
    <w:rsid w:val="005C78ED"/>
    <w:rsid w:val="005D037D"/>
    <w:rsid w:val="005D1EB7"/>
    <w:rsid w:val="005D2E8B"/>
    <w:rsid w:val="005D46FD"/>
    <w:rsid w:val="005D6B71"/>
    <w:rsid w:val="005D77BF"/>
    <w:rsid w:val="005E02B1"/>
    <w:rsid w:val="005E12E5"/>
    <w:rsid w:val="005E1348"/>
    <w:rsid w:val="005E1B1F"/>
    <w:rsid w:val="005E1F0B"/>
    <w:rsid w:val="005E43FF"/>
    <w:rsid w:val="005F0D8E"/>
    <w:rsid w:val="005F12C5"/>
    <w:rsid w:val="005F1343"/>
    <w:rsid w:val="005F2002"/>
    <w:rsid w:val="005F239A"/>
    <w:rsid w:val="005F6B29"/>
    <w:rsid w:val="005F7B6E"/>
    <w:rsid w:val="00600E2E"/>
    <w:rsid w:val="006037C3"/>
    <w:rsid w:val="00606183"/>
    <w:rsid w:val="00611291"/>
    <w:rsid w:val="00611908"/>
    <w:rsid w:val="006119ED"/>
    <w:rsid w:val="0061228A"/>
    <w:rsid w:val="0061375B"/>
    <w:rsid w:val="0061495B"/>
    <w:rsid w:val="006157F8"/>
    <w:rsid w:val="006167D2"/>
    <w:rsid w:val="006169FA"/>
    <w:rsid w:val="00620BFE"/>
    <w:rsid w:val="006213BB"/>
    <w:rsid w:val="00625A27"/>
    <w:rsid w:val="0062660A"/>
    <w:rsid w:val="00631AD0"/>
    <w:rsid w:val="00632C64"/>
    <w:rsid w:val="00633CD8"/>
    <w:rsid w:val="00634B42"/>
    <w:rsid w:val="0063502C"/>
    <w:rsid w:val="0063504F"/>
    <w:rsid w:val="00636911"/>
    <w:rsid w:val="0064211E"/>
    <w:rsid w:val="00642F3E"/>
    <w:rsid w:val="00643D32"/>
    <w:rsid w:val="00644795"/>
    <w:rsid w:val="00647B6E"/>
    <w:rsid w:val="006506F7"/>
    <w:rsid w:val="006510DB"/>
    <w:rsid w:val="00651A81"/>
    <w:rsid w:val="006535F7"/>
    <w:rsid w:val="00653EF6"/>
    <w:rsid w:val="00655424"/>
    <w:rsid w:val="00655F6D"/>
    <w:rsid w:val="00656EAB"/>
    <w:rsid w:val="00661569"/>
    <w:rsid w:val="0066190E"/>
    <w:rsid w:val="00661D75"/>
    <w:rsid w:val="006639ED"/>
    <w:rsid w:val="00664081"/>
    <w:rsid w:val="006648C3"/>
    <w:rsid w:val="006714FF"/>
    <w:rsid w:val="00671C3B"/>
    <w:rsid w:val="00671DD8"/>
    <w:rsid w:val="00672D06"/>
    <w:rsid w:val="0067499F"/>
    <w:rsid w:val="00674A62"/>
    <w:rsid w:val="00675DFA"/>
    <w:rsid w:val="00677217"/>
    <w:rsid w:val="00680B4D"/>
    <w:rsid w:val="00680BC7"/>
    <w:rsid w:val="0068110C"/>
    <w:rsid w:val="006830AC"/>
    <w:rsid w:val="006848B6"/>
    <w:rsid w:val="00687D92"/>
    <w:rsid w:val="00694B2D"/>
    <w:rsid w:val="006962E4"/>
    <w:rsid w:val="00696EE3"/>
    <w:rsid w:val="006A2241"/>
    <w:rsid w:val="006A3C3B"/>
    <w:rsid w:val="006A4370"/>
    <w:rsid w:val="006A50FA"/>
    <w:rsid w:val="006A57B2"/>
    <w:rsid w:val="006A67B5"/>
    <w:rsid w:val="006B2328"/>
    <w:rsid w:val="006B3134"/>
    <w:rsid w:val="006B5933"/>
    <w:rsid w:val="006B6A8E"/>
    <w:rsid w:val="006B7155"/>
    <w:rsid w:val="006B7454"/>
    <w:rsid w:val="006C05B6"/>
    <w:rsid w:val="006C15F6"/>
    <w:rsid w:val="006C5F87"/>
    <w:rsid w:val="006C6533"/>
    <w:rsid w:val="006D04C0"/>
    <w:rsid w:val="006D2559"/>
    <w:rsid w:val="006D340B"/>
    <w:rsid w:val="006D4024"/>
    <w:rsid w:val="006D5E6D"/>
    <w:rsid w:val="006D6AF3"/>
    <w:rsid w:val="006D74D3"/>
    <w:rsid w:val="006D7C99"/>
    <w:rsid w:val="006D7E19"/>
    <w:rsid w:val="006E22A5"/>
    <w:rsid w:val="006E29F0"/>
    <w:rsid w:val="006E3198"/>
    <w:rsid w:val="006E3BC6"/>
    <w:rsid w:val="006F1302"/>
    <w:rsid w:val="006F1CFA"/>
    <w:rsid w:val="006F37B0"/>
    <w:rsid w:val="006F5C4D"/>
    <w:rsid w:val="007007A1"/>
    <w:rsid w:val="007018FD"/>
    <w:rsid w:val="00702354"/>
    <w:rsid w:val="00703C93"/>
    <w:rsid w:val="007073AD"/>
    <w:rsid w:val="00707BD3"/>
    <w:rsid w:val="00711D16"/>
    <w:rsid w:val="007141BF"/>
    <w:rsid w:val="00714A81"/>
    <w:rsid w:val="00716E43"/>
    <w:rsid w:val="007177B9"/>
    <w:rsid w:val="00717E27"/>
    <w:rsid w:val="00722DD8"/>
    <w:rsid w:val="00727523"/>
    <w:rsid w:val="00727D98"/>
    <w:rsid w:val="00727FC3"/>
    <w:rsid w:val="00730354"/>
    <w:rsid w:val="00730835"/>
    <w:rsid w:val="00737FDE"/>
    <w:rsid w:val="0074107C"/>
    <w:rsid w:val="00744C47"/>
    <w:rsid w:val="00746CA8"/>
    <w:rsid w:val="007503EA"/>
    <w:rsid w:val="007534A3"/>
    <w:rsid w:val="0075392F"/>
    <w:rsid w:val="007541CA"/>
    <w:rsid w:val="007543A0"/>
    <w:rsid w:val="007546A6"/>
    <w:rsid w:val="0075482D"/>
    <w:rsid w:val="007561EF"/>
    <w:rsid w:val="00757CC4"/>
    <w:rsid w:val="00757D23"/>
    <w:rsid w:val="00757E1B"/>
    <w:rsid w:val="00760148"/>
    <w:rsid w:val="00760A5E"/>
    <w:rsid w:val="007624A2"/>
    <w:rsid w:val="00764799"/>
    <w:rsid w:val="00764DE4"/>
    <w:rsid w:val="00764FBA"/>
    <w:rsid w:val="0076763F"/>
    <w:rsid w:val="0077113B"/>
    <w:rsid w:val="007719A9"/>
    <w:rsid w:val="007732AB"/>
    <w:rsid w:val="00782173"/>
    <w:rsid w:val="007822BD"/>
    <w:rsid w:val="00782FEB"/>
    <w:rsid w:val="00785376"/>
    <w:rsid w:val="007859A4"/>
    <w:rsid w:val="00786794"/>
    <w:rsid w:val="007904E1"/>
    <w:rsid w:val="0079156D"/>
    <w:rsid w:val="00792C79"/>
    <w:rsid w:val="0079409B"/>
    <w:rsid w:val="00794960"/>
    <w:rsid w:val="00794E3F"/>
    <w:rsid w:val="00796183"/>
    <w:rsid w:val="00797587"/>
    <w:rsid w:val="00797F2D"/>
    <w:rsid w:val="007A0FFB"/>
    <w:rsid w:val="007A1C6D"/>
    <w:rsid w:val="007A3D62"/>
    <w:rsid w:val="007A49CC"/>
    <w:rsid w:val="007B1A6A"/>
    <w:rsid w:val="007B4573"/>
    <w:rsid w:val="007B4A0C"/>
    <w:rsid w:val="007B4B6F"/>
    <w:rsid w:val="007B4F3C"/>
    <w:rsid w:val="007B5889"/>
    <w:rsid w:val="007B72C7"/>
    <w:rsid w:val="007C1054"/>
    <w:rsid w:val="007C7BCF"/>
    <w:rsid w:val="007C7C2C"/>
    <w:rsid w:val="007D09B2"/>
    <w:rsid w:val="007D42CC"/>
    <w:rsid w:val="007D4C89"/>
    <w:rsid w:val="007D637A"/>
    <w:rsid w:val="007E1191"/>
    <w:rsid w:val="007E1E84"/>
    <w:rsid w:val="007E36CA"/>
    <w:rsid w:val="007E4754"/>
    <w:rsid w:val="007E532A"/>
    <w:rsid w:val="007E63C7"/>
    <w:rsid w:val="007F00FF"/>
    <w:rsid w:val="007F05EA"/>
    <w:rsid w:val="007F17C6"/>
    <w:rsid w:val="007F30CA"/>
    <w:rsid w:val="007F33FA"/>
    <w:rsid w:val="007F5AC0"/>
    <w:rsid w:val="007F7BAE"/>
    <w:rsid w:val="00801270"/>
    <w:rsid w:val="0080247B"/>
    <w:rsid w:val="0080257A"/>
    <w:rsid w:val="00805B71"/>
    <w:rsid w:val="00806619"/>
    <w:rsid w:val="00807074"/>
    <w:rsid w:val="00814998"/>
    <w:rsid w:val="00817C17"/>
    <w:rsid w:val="008208D6"/>
    <w:rsid w:val="0082304B"/>
    <w:rsid w:val="008257D7"/>
    <w:rsid w:val="00826A49"/>
    <w:rsid w:val="0083396A"/>
    <w:rsid w:val="00833B65"/>
    <w:rsid w:val="00834183"/>
    <w:rsid w:val="00840CD3"/>
    <w:rsid w:val="0084130E"/>
    <w:rsid w:val="00841635"/>
    <w:rsid w:val="00841A34"/>
    <w:rsid w:val="00843AD9"/>
    <w:rsid w:val="00843BAE"/>
    <w:rsid w:val="00845626"/>
    <w:rsid w:val="00847523"/>
    <w:rsid w:val="00847ACF"/>
    <w:rsid w:val="0085160B"/>
    <w:rsid w:val="00854BC7"/>
    <w:rsid w:val="00855DFA"/>
    <w:rsid w:val="008569E2"/>
    <w:rsid w:val="00860B86"/>
    <w:rsid w:val="008613FA"/>
    <w:rsid w:val="0086486E"/>
    <w:rsid w:val="00865664"/>
    <w:rsid w:val="00865FC2"/>
    <w:rsid w:val="00866E43"/>
    <w:rsid w:val="008670AC"/>
    <w:rsid w:val="00870555"/>
    <w:rsid w:val="00870E7E"/>
    <w:rsid w:val="00874514"/>
    <w:rsid w:val="00874778"/>
    <w:rsid w:val="00875D55"/>
    <w:rsid w:val="00883B19"/>
    <w:rsid w:val="00884D48"/>
    <w:rsid w:val="00886206"/>
    <w:rsid w:val="00886703"/>
    <w:rsid w:val="00886958"/>
    <w:rsid w:val="00891D0E"/>
    <w:rsid w:val="00891E83"/>
    <w:rsid w:val="0089246C"/>
    <w:rsid w:val="008929C2"/>
    <w:rsid w:val="00892C0F"/>
    <w:rsid w:val="00894771"/>
    <w:rsid w:val="00894D5D"/>
    <w:rsid w:val="00895DFB"/>
    <w:rsid w:val="00896910"/>
    <w:rsid w:val="00896C1C"/>
    <w:rsid w:val="00896E71"/>
    <w:rsid w:val="00896FB4"/>
    <w:rsid w:val="008A1DF2"/>
    <w:rsid w:val="008A5B90"/>
    <w:rsid w:val="008A61AF"/>
    <w:rsid w:val="008A7088"/>
    <w:rsid w:val="008A79D8"/>
    <w:rsid w:val="008B0008"/>
    <w:rsid w:val="008B11EE"/>
    <w:rsid w:val="008B2BD4"/>
    <w:rsid w:val="008B3E3D"/>
    <w:rsid w:val="008B4061"/>
    <w:rsid w:val="008B4475"/>
    <w:rsid w:val="008B4AA3"/>
    <w:rsid w:val="008B5E14"/>
    <w:rsid w:val="008B683D"/>
    <w:rsid w:val="008B73AB"/>
    <w:rsid w:val="008C10C7"/>
    <w:rsid w:val="008C166F"/>
    <w:rsid w:val="008C4DF0"/>
    <w:rsid w:val="008C6BA6"/>
    <w:rsid w:val="008C7CEA"/>
    <w:rsid w:val="008D1866"/>
    <w:rsid w:val="008D1D6B"/>
    <w:rsid w:val="008D4941"/>
    <w:rsid w:val="008D506C"/>
    <w:rsid w:val="008D74D7"/>
    <w:rsid w:val="008D7B08"/>
    <w:rsid w:val="008E050B"/>
    <w:rsid w:val="008E172D"/>
    <w:rsid w:val="008E1B04"/>
    <w:rsid w:val="008E24AE"/>
    <w:rsid w:val="008E49F8"/>
    <w:rsid w:val="008E5E2D"/>
    <w:rsid w:val="008F065C"/>
    <w:rsid w:val="008F0F50"/>
    <w:rsid w:val="008F11E2"/>
    <w:rsid w:val="008F37AE"/>
    <w:rsid w:val="008F384B"/>
    <w:rsid w:val="008F3F72"/>
    <w:rsid w:val="008F45BB"/>
    <w:rsid w:val="008F4E7D"/>
    <w:rsid w:val="008F4EC0"/>
    <w:rsid w:val="008F5273"/>
    <w:rsid w:val="008F6967"/>
    <w:rsid w:val="00900290"/>
    <w:rsid w:val="00900F3B"/>
    <w:rsid w:val="00902461"/>
    <w:rsid w:val="00902F2B"/>
    <w:rsid w:val="00903B89"/>
    <w:rsid w:val="0090515B"/>
    <w:rsid w:val="00906D0D"/>
    <w:rsid w:val="00907B04"/>
    <w:rsid w:val="00914908"/>
    <w:rsid w:val="00915F7E"/>
    <w:rsid w:val="0091699D"/>
    <w:rsid w:val="00920357"/>
    <w:rsid w:val="00923870"/>
    <w:rsid w:val="00924506"/>
    <w:rsid w:val="00925606"/>
    <w:rsid w:val="00925F6F"/>
    <w:rsid w:val="009260B7"/>
    <w:rsid w:val="00927C90"/>
    <w:rsid w:val="00933729"/>
    <w:rsid w:val="00934A3C"/>
    <w:rsid w:val="00934A7F"/>
    <w:rsid w:val="0094110C"/>
    <w:rsid w:val="00941580"/>
    <w:rsid w:val="00945498"/>
    <w:rsid w:val="00947EC5"/>
    <w:rsid w:val="00950279"/>
    <w:rsid w:val="0095170E"/>
    <w:rsid w:val="009559DD"/>
    <w:rsid w:val="00956AFC"/>
    <w:rsid w:val="00957B80"/>
    <w:rsid w:val="00962D4E"/>
    <w:rsid w:val="00964122"/>
    <w:rsid w:val="00964667"/>
    <w:rsid w:val="00964884"/>
    <w:rsid w:val="00966D16"/>
    <w:rsid w:val="009677A9"/>
    <w:rsid w:val="00967B00"/>
    <w:rsid w:val="00970D32"/>
    <w:rsid w:val="009713B9"/>
    <w:rsid w:val="00971D89"/>
    <w:rsid w:val="009724C4"/>
    <w:rsid w:val="00973E63"/>
    <w:rsid w:val="009747DD"/>
    <w:rsid w:val="009750AB"/>
    <w:rsid w:val="00975173"/>
    <w:rsid w:val="00975EB4"/>
    <w:rsid w:val="00976B3F"/>
    <w:rsid w:val="0098077C"/>
    <w:rsid w:val="00981297"/>
    <w:rsid w:val="0098529C"/>
    <w:rsid w:val="0098716D"/>
    <w:rsid w:val="00990318"/>
    <w:rsid w:val="00991540"/>
    <w:rsid w:val="00991E74"/>
    <w:rsid w:val="00993F5A"/>
    <w:rsid w:val="00994CE7"/>
    <w:rsid w:val="009973D1"/>
    <w:rsid w:val="009A2738"/>
    <w:rsid w:val="009A332E"/>
    <w:rsid w:val="009A4237"/>
    <w:rsid w:val="009A5927"/>
    <w:rsid w:val="009A65CD"/>
    <w:rsid w:val="009A67B1"/>
    <w:rsid w:val="009A6BC7"/>
    <w:rsid w:val="009A6C03"/>
    <w:rsid w:val="009B11AA"/>
    <w:rsid w:val="009B138A"/>
    <w:rsid w:val="009B31ED"/>
    <w:rsid w:val="009B33DC"/>
    <w:rsid w:val="009B4021"/>
    <w:rsid w:val="009B4CB2"/>
    <w:rsid w:val="009B52AD"/>
    <w:rsid w:val="009B5E00"/>
    <w:rsid w:val="009B7CE8"/>
    <w:rsid w:val="009C086F"/>
    <w:rsid w:val="009C099F"/>
    <w:rsid w:val="009C0F9E"/>
    <w:rsid w:val="009C11CE"/>
    <w:rsid w:val="009C1DA5"/>
    <w:rsid w:val="009C3036"/>
    <w:rsid w:val="009C3BFB"/>
    <w:rsid w:val="009C6D30"/>
    <w:rsid w:val="009C70BC"/>
    <w:rsid w:val="009C7650"/>
    <w:rsid w:val="009D05E6"/>
    <w:rsid w:val="009D51A4"/>
    <w:rsid w:val="009D52CF"/>
    <w:rsid w:val="009D70A9"/>
    <w:rsid w:val="009D746C"/>
    <w:rsid w:val="009D76CE"/>
    <w:rsid w:val="009D77C9"/>
    <w:rsid w:val="009D7A02"/>
    <w:rsid w:val="009D7AC1"/>
    <w:rsid w:val="009E0878"/>
    <w:rsid w:val="009E1231"/>
    <w:rsid w:val="009E2CB2"/>
    <w:rsid w:val="009E3963"/>
    <w:rsid w:val="009E762E"/>
    <w:rsid w:val="009E76C0"/>
    <w:rsid w:val="009F0AAF"/>
    <w:rsid w:val="009F21D9"/>
    <w:rsid w:val="009F24C1"/>
    <w:rsid w:val="009F3558"/>
    <w:rsid w:val="009F46B4"/>
    <w:rsid w:val="009F4E43"/>
    <w:rsid w:val="009F6F11"/>
    <w:rsid w:val="00A02039"/>
    <w:rsid w:val="00A0363C"/>
    <w:rsid w:val="00A042EC"/>
    <w:rsid w:val="00A0525E"/>
    <w:rsid w:val="00A05911"/>
    <w:rsid w:val="00A060F2"/>
    <w:rsid w:val="00A06581"/>
    <w:rsid w:val="00A075FB"/>
    <w:rsid w:val="00A10638"/>
    <w:rsid w:val="00A12AC9"/>
    <w:rsid w:val="00A136B0"/>
    <w:rsid w:val="00A14A1A"/>
    <w:rsid w:val="00A1579D"/>
    <w:rsid w:val="00A158FD"/>
    <w:rsid w:val="00A202F6"/>
    <w:rsid w:val="00A20F4F"/>
    <w:rsid w:val="00A2178D"/>
    <w:rsid w:val="00A22414"/>
    <w:rsid w:val="00A231CD"/>
    <w:rsid w:val="00A246A8"/>
    <w:rsid w:val="00A24F59"/>
    <w:rsid w:val="00A250E4"/>
    <w:rsid w:val="00A262F3"/>
    <w:rsid w:val="00A26CDC"/>
    <w:rsid w:val="00A31AE0"/>
    <w:rsid w:val="00A3230E"/>
    <w:rsid w:val="00A34018"/>
    <w:rsid w:val="00A3435B"/>
    <w:rsid w:val="00A35AE6"/>
    <w:rsid w:val="00A35B8A"/>
    <w:rsid w:val="00A37BBB"/>
    <w:rsid w:val="00A41D9F"/>
    <w:rsid w:val="00A42FA5"/>
    <w:rsid w:val="00A460FF"/>
    <w:rsid w:val="00A46770"/>
    <w:rsid w:val="00A538B9"/>
    <w:rsid w:val="00A55D3B"/>
    <w:rsid w:val="00A603A1"/>
    <w:rsid w:val="00A61217"/>
    <w:rsid w:val="00A61244"/>
    <w:rsid w:val="00A63576"/>
    <w:rsid w:val="00A66044"/>
    <w:rsid w:val="00A67E8E"/>
    <w:rsid w:val="00A70C84"/>
    <w:rsid w:val="00A725FA"/>
    <w:rsid w:val="00A72AE6"/>
    <w:rsid w:val="00A743BF"/>
    <w:rsid w:val="00A74A17"/>
    <w:rsid w:val="00A76024"/>
    <w:rsid w:val="00A7648D"/>
    <w:rsid w:val="00A7696C"/>
    <w:rsid w:val="00A77A03"/>
    <w:rsid w:val="00A81F31"/>
    <w:rsid w:val="00A83BB4"/>
    <w:rsid w:val="00A8587C"/>
    <w:rsid w:val="00A859C1"/>
    <w:rsid w:val="00A85C85"/>
    <w:rsid w:val="00A86143"/>
    <w:rsid w:val="00A86877"/>
    <w:rsid w:val="00A87350"/>
    <w:rsid w:val="00A87E82"/>
    <w:rsid w:val="00A9095E"/>
    <w:rsid w:val="00A9126D"/>
    <w:rsid w:val="00A91AB8"/>
    <w:rsid w:val="00A92790"/>
    <w:rsid w:val="00A92957"/>
    <w:rsid w:val="00A9393B"/>
    <w:rsid w:val="00A94B9E"/>
    <w:rsid w:val="00A94D27"/>
    <w:rsid w:val="00AA431D"/>
    <w:rsid w:val="00AA4DBE"/>
    <w:rsid w:val="00AA4F2D"/>
    <w:rsid w:val="00AA5427"/>
    <w:rsid w:val="00AA5782"/>
    <w:rsid w:val="00AA698F"/>
    <w:rsid w:val="00AA7C51"/>
    <w:rsid w:val="00AB2660"/>
    <w:rsid w:val="00AB2A6B"/>
    <w:rsid w:val="00AB3412"/>
    <w:rsid w:val="00AC046B"/>
    <w:rsid w:val="00AC132F"/>
    <w:rsid w:val="00AC1F35"/>
    <w:rsid w:val="00AC2317"/>
    <w:rsid w:val="00AC243A"/>
    <w:rsid w:val="00AC4CAF"/>
    <w:rsid w:val="00AC54FC"/>
    <w:rsid w:val="00AC648E"/>
    <w:rsid w:val="00AD3347"/>
    <w:rsid w:val="00AD68BA"/>
    <w:rsid w:val="00AD6CFB"/>
    <w:rsid w:val="00AE0453"/>
    <w:rsid w:val="00AE0F3B"/>
    <w:rsid w:val="00AE11A0"/>
    <w:rsid w:val="00AE1C98"/>
    <w:rsid w:val="00AE22E9"/>
    <w:rsid w:val="00AE2A1D"/>
    <w:rsid w:val="00AE4251"/>
    <w:rsid w:val="00AE56CD"/>
    <w:rsid w:val="00AE6199"/>
    <w:rsid w:val="00AE6EAE"/>
    <w:rsid w:val="00AE7569"/>
    <w:rsid w:val="00AF0904"/>
    <w:rsid w:val="00AF1FC3"/>
    <w:rsid w:val="00AF3D5E"/>
    <w:rsid w:val="00AF41B9"/>
    <w:rsid w:val="00AF6405"/>
    <w:rsid w:val="00AF6866"/>
    <w:rsid w:val="00AF68C1"/>
    <w:rsid w:val="00AF75BD"/>
    <w:rsid w:val="00B041DD"/>
    <w:rsid w:val="00B07097"/>
    <w:rsid w:val="00B071FD"/>
    <w:rsid w:val="00B10572"/>
    <w:rsid w:val="00B10608"/>
    <w:rsid w:val="00B12147"/>
    <w:rsid w:val="00B13BE2"/>
    <w:rsid w:val="00B1580B"/>
    <w:rsid w:val="00B16621"/>
    <w:rsid w:val="00B1662C"/>
    <w:rsid w:val="00B168B3"/>
    <w:rsid w:val="00B21FF8"/>
    <w:rsid w:val="00B22BDD"/>
    <w:rsid w:val="00B25DE6"/>
    <w:rsid w:val="00B2687C"/>
    <w:rsid w:val="00B26B8D"/>
    <w:rsid w:val="00B27C58"/>
    <w:rsid w:val="00B309B7"/>
    <w:rsid w:val="00B33D64"/>
    <w:rsid w:val="00B35C4B"/>
    <w:rsid w:val="00B36089"/>
    <w:rsid w:val="00B3610C"/>
    <w:rsid w:val="00B40177"/>
    <w:rsid w:val="00B42EEB"/>
    <w:rsid w:val="00B467DF"/>
    <w:rsid w:val="00B51532"/>
    <w:rsid w:val="00B53170"/>
    <w:rsid w:val="00B54B71"/>
    <w:rsid w:val="00B55613"/>
    <w:rsid w:val="00B55B6C"/>
    <w:rsid w:val="00B567DB"/>
    <w:rsid w:val="00B6186F"/>
    <w:rsid w:val="00B62803"/>
    <w:rsid w:val="00B6604A"/>
    <w:rsid w:val="00B673F4"/>
    <w:rsid w:val="00B708F8"/>
    <w:rsid w:val="00B70AA6"/>
    <w:rsid w:val="00B71F2A"/>
    <w:rsid w:val="00B73339"/>
    <w:rsid w:val="00B73E98"/>
    <w:rsid w:val="00B814C4"/>
    <w:rsid w:val="00B8360A"/>
    <w:rsid w:val="00B838F0"/>
    <w:rsid w:val="00B84334"/>
    <w:rsid w:val="00B86E5B"/>
    <w:rsid w:val="00B87255"/>
    <w:rsid w:val="00B90C9C"/>
    <w:rsid w:val="00B92BE7"/>
    <w:rsid w:val="00B92CF4"/>
    <w:rsid w:val="00B93113"/>
    <w:rsid w:val="00B9365F"/>
    <w:rsid w:val="00B96681"/>
    <w:rsid w:val="00B96FD3"/>
    <w:rsid w:val="00B9732E"/>
    <w:rsid w:val="00B979E0"/>
    <w:rsid w:val="00BA0F15"/>
    <w:rsid w:val="00BA1918"/>
    <w:rsid w:val="00BA1925"/>
    <w:rsid w:val="00BA4251"/>
    <w:rsid w:val="00BA4D96"/>
    <w:rsid w:val="00BA6898"/>
    <w:rsid w:val="00BA7942"/>
    <w:rsid w:val="00BB0E5E"/>
    <w:rsid w:val="00BB0FC6"/>
    <w:rsid w:val="00BB20AA"/>
    <w:rsid w:val="00BB23FB"/>
    <w:rsid w:val="00BB375F"/>
    <w:rsid w:val="00BC39AD"/>
    <w:rsid w:val="00BC4451"/>
    <w:rsid w:val="00BC4E70"/>
    <w:rsid w:val="00BC6DAF"/>
    <w:rsid w:val="00BD544F"/>
    <w:rsid w:val="00BE0BFB"/>
    <w:rsid w:val="00BE125D"/>
    <w:rsid w:val="00BE4108"/>
    <w:rsid w:val="00BE5D9E"/>
    <w:rsid w:val="00BE76BD"/>
    <w:rsid w:val="00BE7998"/>
    <w:rsid w:val="00BF04A9"/>
    <w:rsid w:val="00BF1D33"/>
    <w:rsid w:val="00BF2AD7"/>
    <w:rsid w:val="00BF2BCA"/>
    <w:rsid w:val="00BF4FA4"/>
    <w:rsid w:val="00BF6744"/>
    <w:rsid w:val="00BF7266"/>
    <w:rsid w:val="00BF7F5A"/>
    <w:rsid w:val="00C011F6"/>
    <w:rsid w:val="00C01F24"/>
    <w:rsid w:val="00C02835"/>
    <w:rsid w:val="00C07160"/>
    <w:rsid w:val="00C103EF"/>
    <w:rsid w:val="00C10A66"/>
    <w:rsid w:val="00C11E37"/>
    <w:rsid w:val="00C138D1"/>
    <w:rsid w:val="00C146F0"/>
    <w:rsid w:val="00C1519A"/>
    <w:rsid w:val="00C15FBA"/>
    <w:rsid w:val="00C20022"/>
    <w:rsid w:val="00C203EA"/>
    <w:rsid w:val="00C20FCA"/>
    <w:rsid w:val="00C23F2F"/>
    <w:rsid w:val="00C24919"/>
    <w:rsid w:val="00C25175"/>
    <w:rsid w:val="00C25863"/>
    <w:rsid w:val="00C26C94"/>
    <w:rsid w:val="00C314FC"/>
    <w:rsid w:val="00C317D1"/>
    <w:rsid w:val="00C3373F"/>
    <w:rsid w:val="00C358CE"/>
    <w:rsid w:val="00C40005"/>
    <w:rsid w:val="00C41BFB"/>
    <w:rsid w:val="00C43B69"/>
    <w:rsid w:val="00C45AD3"/>
    <w:rsid w:val="00C46557"/>
    <w:rsid w:val="00C5058B"/>
    <w:rsid w:val="00C548B6"/>
    <w:rsid w:val="00C54A70"/>
    <w:rsid w:val="00C564E8"/>
    <w:rsid w:val="00C56C0A"/>
    <w:rsid w:val="00C578E1"/>
    <w:rsid w:val="00C60F80"/>
    <w:rsid w:val="00C61D3F"/>
    <w:rsid w:val="00C61FC6"/>
    <w:rsid w:val="00C62E2A"/>
    <w:rsid w:val="00C6406A"/>
    <w:rsid w:val="00C6559E"/>
    <w:rsid w:val="00C66D07"/>
    <w:rsid w:val="00C674FB"/>
    <w:rsid w:val="00C677E3"/>
    <w:rsid w:val="00C767D3"/>
    <w:rsid w:val="00C80BDD"/>
    <w:rsid w:val="00C80C86"/>
    <w:rsid w:val="00C8340E"/>
    <w:rsid w:val="00C85853"/>
    <w:rsid w:val="00C90762"/>
    <w:rsid w:val="00C9292B"/>
    <w:rsid w:val="00C93975"/>
    <w:rsid w:val="00C93CE8"/>
    <w:rsid w:val="00C93DC3"/>
    <w:rsid w:val="00C95C8B"/>
    <w:rsid w:val="00C97C5C"/>
    <w:rsid w:val="00CA0444"/>
    <w:rsid w:val="00CA0A95"/>
    <w:rsid w:val="00CA14C5"/>
    <w:rsid w:val="00CA1E57"/>
    <w:rsid w:val="00CA2EF9"/>
    <w:rsid w:val="00CA3EAA"/>
    <w:rsid w:val="00CA3F6B"/>
    <w:rsid w:val="00CA4ECF"/>
    <w:rsid w:val="00CA4F73"/>
    <w:rsid w:val="00CB0A2A"/>
    <w:rsid w:val="00CB3686"/>
    <w:rsid w:val="00CB3CFA"/>
    <w:rsid w:val="00CB6544"/>
    <w:rsid w:val="00CC435B"/>
    <w:rsid w:val="00CC4D91"/>
    <w:rsid w:val="00CC52CF"/>
    <w:rsid w:val="00CD03B2"/>
    <w:rsid w:val="00CD0655"/>
    <w:rsid w:val="00CD173F"/>
    <w:rsid w:val="00CD1B80"/>
    <w:rsid w:val="00CD2537"/>
    <w:rsid w:val="00CD28D5"/>
    <w:rsid w:val="00CD46EA"/>
    <w:rsid w:val="00CD4F22"/>
    <w:rsid w:val="00CD538A"/>
    <w:rsid w:val="00CD5B58"/>
    <w:rsid w:val="00CD5D2F"/>
    <w:rsid w:val="00CD6021"/>
    <w:rsid w:val="00CD6755"/>
    <w:rsid w:val="00CD7AD4"/>
    <w:rsid w:val="00CE2A9D"/>
    <w:rsid w:val="00CE44E2"/>
    <w:rsid w:val="00CE6CEC"/>
    <w:rsid w:val="00CF16D1"/>
    <w:rsid w:val="00CF1C15"/>
    <w:rsid w:val="00CF2DDE"/>
    <w:rsid w:val="00D01E42"/>
    <w:rsid w:val="00D037B7"/>
    <w:rsid w:val="00D03FBB"/>
    <w:rsid w:val="00D054FD"/>
    <w:rsid w:val="00D072B7"/>
    <w:rsid w:val="00D10C55"/>
    <w:rsid w:val="00D13DE4"/>
    <w:rsid w:val="00D13FDF"/>
    <w:rsid w:val="00D143CF"/>
    <w:rsid w:val="00D146E6"/>
    <w:rsid w:val="00D1710D"/>
    <w:rsid w:val="00D17131"/>
    <w:rsid w:val="00D17D2B"/>
    <w:rsid w:val="00D20D40"/>
    <w:rsid w:val="00D20D55"/>
    <w:rsid w:val="00D21AD5"/>
    <w:rsid w:val="00D21F9A"/>
    <w:rsid w:val="00D250B2"/>
    <w:rsid w:val="00D255BF"/>
    <w:rsid w:val="00D259F1"/>
    <w:rsid w:val="00D305A1"/>
    <w:rsid w:val="00D31EE8"/>
    <w:rsid w:val="00D3213A"/>
    <w:rsid w:val="00D325C8"/>
    <w:rsid w:val="00D337A3"/>
    <w:rsid w:val="00D35D15"/>
    <w:rsid w:val="00D360DA"/>
    <w:rsid w:val="00D369EB"/>
    <w:rsid w:val="00D36B2B"/>
    <w:rsid w:val="00D36F26"/>
    <w:rsid w:val="00D40422"/>
    <w:rsid w:val="00D4103E"/>
    <w:rsid w:val="00D42D9B"/>
    <w:rsid w:val="00D43CFF"/>
    <w:rsid w:val="00D45CC1"/>
    <w:rsid w:val="00D4689A"/>
    <w:rsid w:val="00D51824"/>
    <w:rsid w:val="00D52C79"/>
    <w:rsid w:val="00D54DF6"/>
    <w:rsid w:val="00D5614C"/>
    <w:rsid w:val="00D56365"/>
    <w:rsid w:val="00D56922"/>
    <w:rsid w:val="00D602B0"/>
    <w:rsid w:val="00D62D74"/>
    <w:rsid w:val="00D63253"/>
    <w:rsid w:val="00D64987"/>
    <w:rsid w:val="00D65563"/>
    <w:rsid w:val="00D74A0E"/>
    <w:rsid w:val="00D77A24"/>
    <w:rsid w:val="00D8085C"/>
    <w:rsid w:val="00D83738"/>
    <w:rsid w:val="00D86113"/>
    <w:rsid w:val="00D86FD2"/>
    <w:rsid w:val="00D873D5"/>
    <w:rsid w:val="00D90F08"/>
    <w:rsid w:val="00D9238C"/>
    <w:rsid w:val="00D92E87"/>
    <w:rsid w:val="00D9396B"/>
    <w:rsid w:val="00D940C5"/>
    <w:rsid w:val="00D954BB"/>
    <w:rsid w:val="00D95A83"/>
    <w:rsid w:val="00D95DE3"/>
    <w:rsid w:val="00D96017"/>
    <w:rsid w:val="00D967E6"/>
    <w:rsid w:val="00D96E76"/>
    <w:rsid w:val="00D97245"/>
    <w:rsid w:val="00DA22A0"/>
    <w:rsid w:val="00DA2DED"/>
    <w:rsid w:val="00DA42DD"/>
    <w:rsid w:val="00DA49FF"/>
    <w:rsid w:val="00DB227B"/>
    <w:rsid w:val="00DB2512"/>
    <w:rsid w:val="00DB277F"/>
    <w:rsid w:val="00DB5230"/>
    <w:rsid w:val="00DB729B"/>
    <w:rsid w:val="00DC0690"/>
    <w:rsid w:val="00DC1824"/>
    <w:rsid w:val="00DC1C8C"/>
    <w:rsid w:val="00DC2BCF"/>
    <w:rsid w:val="00DC37B3"/>
    <w:rsid w:val="00DC4A74"/>
    <w:rsid w:val="00DC6102"/>
    <w:rsid w:val="00DC6F10"/>
    <w:rsid w:val="00DD1293"/>
    <w:rsid w:val="00DD1C16"/>
    <w:rsid w:val="00DD2F60"/>
    <w:rsid w:val="00DD3341"/>
    <w:rsid w:val="00DD3591"/>
    <w:rsid w:val="00DD7CE5"/>
    <w:rsid w:val="00DE0928"/>
    <w:rsid w:val="00DE1141"/>
    <w:rsid w:val="00DE12AB"/>
    <w:rsid w:val="00DE3BD6"/>
    <w:rsid w:val="00DE5EC8"/>
    <w:rsid w:val="00DE650C"/>
    <w:rsid w:val="00DF040D"/>
    <w:rsid w:val="00DF057D"/>
    <w:rsid w:val="00DF1D4D"/>
    <w:rsid w:val="00DF1F4D"/>
    <w:rsid w:val="00DF2692"/>
    <w:rsid w:val="00DF2ECF"/>
    <w:rsid w:val="00DF3A65"/>
    <w:rsid w:val="00DF40C6"/>
    <w:rsid w:val="00E02232"/>
    <w:rsid w:val="00E02756"/>
    <w:rsid w:val="00E034AC"/>
    <w:rsid w:val="00E03909"/>
    <w:rsid w:val="00E03949"/>
    <w:rsid w:val="00E059BD"/>
    <w:rsid w:val="00E05F2A"/>
    <w:rsid w:val="00E103E3"/>
    <w:rsid w:val="00E106FF"/>
    <w:rsid w:val="00E10B23"/>
    <w:rsid w:val="00E15630"/>
    <w:rsid w:val="00E17F9B"/>
    <w:rsid w:val="00E2335B"/>
    <w:rsid w:val="00E23A1F"/>
    <w:rsid w:val="00E2616A"/>
    <w:rsid w:val="00E27215"/>
    <w:rsid w:val="00E31BBA"/>
    <w:rsid w:val="00E33D13"/>
    <w:rsid w:val="00E34368"/>
    <w:rsid w:val="00E34990"/>
    <w:rsid w:val="00E355E1"/>
    <w:rsid w:val="00E36480"/>
    <w:rsid w:val="00E37164"/>
    <w:rsid w:val="00E408A5"/>
    <w:rsid w:val="00E42F0D"/>
    <w:rsid w:val="00E44306"/>
    <w:rsid w:val="00E44B56"/>
    <w:rsid w:val="00E44C15"/>
    <w:rsid w:val="00E52241"/>
    <w:rsid w:val="00E529F5"/>
    <w:rsid w:val="00E52EF1"/>
    <w:rsid w:val="00E533B5"/>
    <w:rsid w:val="00E542B4"/>
    <w:rsid w:val="00E547BB"/>
    <w:rsid w:val="00E55C25"/>
    <w:rsid w:val="00E55E06"/>
    <w:rsid w:val="00E56F2C"/>
    <w:rsid w:val="00E66FB8"/>
    <w:rsid w:val="00E70706"/>
    <w:rsid w:val="00E71FE2"/>
    <w:rsid w:val="00E72D4F"/>
    <w:rsid w:val="00E7660A"/>
    <w:rsid w:val="00E76741"/>
    <w:rsid w:val="00E7747E"/>
    <w:rsid w:val="00E80AAE"/>
    <w:rsid w:val="00E81300"/>
    <w:rsid w:val="00E833A7"/>
    <w:rsid w:val="00E84A22"/>
    <w:rsid w:val="00E85C3C"/>
    <w:rsid w:val="00E85DB4"/>
    <w:rsid w:val="00E91280"/>
    <w:rsid w:val="00E925C0"/>
    <w:rsid w:val="00E936B2"/>
    <w:rsid w:val="00E943C1"/>
    <w:rsid w:val="00E95E27"/>
    <w:rsid w:val="00E9660A"/>
    <w:rsid w:val="00E96B6C"/>
    <w:rsid w:val="00E96D16"/>
    <w:rsid w:val="00E9709A"/>
    <w:rsid w:val="00EA0695"/>
    <w:rsid w:val="00EA0C75"/>
    <w:rsid w:val="00EA0E2A"/>
    <w:rsid w:val="00EA1AB4"/>
    <w:rsid w:val="00EA4088"/>
    <w:rsid w:val="00EA4B25"/>
    <w:rsid w:val="00EA4BF4"/>
    <w:rsid w:val="00EA67D1"/>
    <w:rsid w:val="00EA7224"/>
    <w:rsid w:val="00EA7F60"/>
    <w:rsid w:val="00EB243F"/>
    <w:rsid w:val="00EB2580"/>
    <w:rsid w:val="00EB2849"/>
    <w:rsid w:val="00EB4A2F"/>
    <w:rsid w:val="00EB60AD"/>
    <w:rsid w:val="00EC2AC9"/>
    <w:rsid w:val="00EC5BB9"/>
    <w:rsid w:val="00EC5BBD"/>
    <w:rsid w:val="00EC6694"/>
    <w:rsid w:val="00EC6DE1"/>
    <w:rsid w:val="00EC6F77"/>
    <w:rsid w:val="00EC7189"/>
    <w:rsid w:val="00EC7195"/>
    <w:rsid w:val="00EC7534"/>
    <w:rsid w:val="00EC7AEE"/>
    <w:rsid w:val="00ED0058"/>
    <w:rsid w:val="00ED0F40"/>
    <w:rsid w:val="00ED0FCC"/>
    <w:rsid w:val="00ED2C0E"/>
    <w:rsid w:val="00ED50F7"/>
    <w:rsid w:val="00ED559A"/>
    <w:rsid w:val="00ED56FB"/>
    <w:rsid w:val="00ED71F6"/>
    <w:rsid w:val="00EE7204"/>
    <w:rsid w:val="00EF0F19"/>
    <w:rsid w:val="00EF1F92"/>
    <w:rsid w:val="00EF3DCF"/>
    <w:rsid w:val="00EF4780"/>
    <w:rsid w:val="00EF5494"/>
    <w:rsid w:val="00EF5AC3"/>
    <w:rsid w:val="00EF6EFD"/>
    <w:rsid w:val="00F00CFA"/>
    <w:rsid w:val="00F00F9F"/>
    <w:rsid w:val="00F01FB6"/>
    <w:rsid w:val="00F0515D"/>
    <w:rsid w:val="00F05892"/>
    <w:rsid w:val="00F05E92"/>
    <w:rsid w:val="00F07859"/>
    <w:rsid w:val="00F07BC5"/>
    <w:rsid w:val="00F07C09"/>
    <w:rsid w:val="00F11F2A"/>
    <w:rsid w:val="00F126F9"/>
    <w:rsid w:val="00F12A50"/>
    <w:rsid w:val="00F12AEA"/>
    <w:rsid w:val="00F15F4F"/>
    <w:rsid w:val="00F165DD"/>
    <w:rsid w:val="00F20A75"/>
    <w:rsid w:val="00F21118"/>
    <w:rsid w:val="00F24000"/>
    <w:rsid w:val="00F250DE"/>
    <w:rsid w:val="00F26928"/>
    <w:rsid w:val="00F33F50"/>
    <w:rsid w:val="00F36A86"/>
    <w:rsid w:val="00F37C07"/>
    <w:rsid w:val="00F405EA"/>
    <w:rsid w:val="00F40D0B"/>
    <w:rsid w:val="00F446B3"/>
    <w:rsid w:val="00F474E4"/>
    <w:rsid w:val="00F47EA0"/>
    <w:rsid w:val="00F55866"/>
    <w:rsid w:val="00F55D5A"/>
    <w:rsid w:val="00F55E59"/>
    <w:rsid w:val="00F600D3"/>
    <w:rsid w:val="00F60898"/>
    <w:rsid w:val="00F60AC3"/>
    <w:rsid w:val="00F60EB4"/>
    <w:rsid w:val="00F610D2"/>
    <w:rsid w:val="00F63ED9"/>
    <w:rsid w:val="00F650DA"/>
    <w:rsid w:val="00F6552B"/>
    <w:rsid w:val="00F65CB4"/>
    <w:rsid w:val="00F7256C"/>
    <w:rsid w:val="00F749D9"/>
    <w:rsid w:val="00F77AAB"/>
    <w:rsid w:val="00F80AFB"/>
    <w:rsid w:val="00F80C2B"/>
    <w:rsid w:val="00F84672"/>
    <w:rsid w:val="00F8756B"/>
    <w:rsid w:val="00F878C8"/>
    <w:rsid w:val="00F91DE4"/>
    <w:rsid w:val="00F92C02"/>
    <w:rsid w:val="00F93064"/>
    <w:rsid w:val="00F94524"/>
    <w:rsid w:val="00F9459E"/>
    <w:rsid w:val="00F95712"/>
    <w:rsid w:val="00F95C7F"/>
    <w:rsid w:val="00F973A3"/>
    <w:rsid w:val="00FA08F0"/>
    <w:rsid w:val="00FA232C"/>
    <w:rsid w:val="00FA2597"/>
    <w:rsid w:val="00FA2F26"/>
    <w:rsid w:val="00FA310A"/>
    <w:rsid w:val="00FA5AB5"/>
    <w:rsid w:val="00FA69D2"/>
    <w:rsid w:val="00FA6AEF"/>
    <w:rsid w:val="00FB0BB7"/>
    <w:rsid w:val="00FB6368"/>
    <w:rsid w:val="00FB65F0"/>
    <w:rsid w:val="00FB73C7"/>
    <w:rsid w:val="00FC0ECE"/>
    <w:rsid w:val="00FC371A"/>
    <w:rsid w:val="00FC3F4B"/>
    <w:rsid w:val="00FC4336"/>
    <w:rsid w:val="00FC4943"/>
    <w:rsid w:val="00FC4EF9"/>
    <w:rsid w:val="00FC5352"/>
    <w:rsid w:val="00FC7F10"/>
    <w:rsid w:val="00FD0202"/>
    <w:rsid w:val="00FD3770"/>
    <w:rsid w:val="00FD41A4"/>
    <w:rsid w:val="00FD53F1"/>
    <w:rsid w:val="00FD5681"/>
    <w:rsid w:val="00FD6B38"/>
    <w:rsid w:val="00FE04C0"/>
    <w:rsid w:val="00FE1DA1"/>
    <w:rsid w:val="00FE269D"/>
    <w:rsid w:val="00FE43A6"/>
    <w:rsid w:val="00FE7025"/>
    <w:rsid w:val="00FF0083"/>
    <w:rsid w:val="00FF2DB6"/>
    <w:rsid w:val="00FF623A"/>
    <w:rsid w:val="00FF67B9"/>
    <w:rsid w:val="00FF7D2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3A83576"/>
  <w15:docId w15:val="{BFCC97DE-2F31-4C41-8782-689E6FEF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F2A"/>
    <w:pPr>
      <w:spacing w:line="276" w:lineRule="auto"/>
    </w:pPr>
    <w:rPr>
      <w:color w:val="595959" w:themeColor="text1" w:themeTint="A6"/>
    </w:rPr>
  </w:style>
  <w:style w:type="paragraph" w:styleId="Heading1">
    <w:name w:val="heading 1"/>
    <w:basedOn w:val="Normal"/>
    <w:next w:val="Normal"/>
    <w:link w:val="Heading1Char"/>
    <w:uiPriority w:val="9"/>
    <w:qFormat/>
    <w:rsid w:val="000C7D29"/>
    <w:pPr>
      <w:keepNext/>
      <w:keepLines/>
      <w:spacing w:before="240" w:after="360" w:line="240" w:lineRule="auto"/>
      <w:outlineLvl w:val="0"/>
    </w:pPr>
    <w:rPr>
      <w:rFonts w:asciiTheme="majorHAnsi" w:eastAsiaTheme="majorEastAsia" w:hAnsiTheme="majorHAnsi" w:cstheme="majorBidi"/>
      <w:color w:val="2E74B5" w:themeColor="accent1" w:themeShade="BF"/>
      <w:sz w:val="48"/>
      <w:szCs w:val="32"/>
    </w:rPr>
  </w:style>
  <w:style w:type="paragraph" w:styleId="Heading2">
    <w:name w:val="heading 2"/>
    <w:basedOn w:val="Normal"/>
    <w:next w:val="Normal"/>
    <w:link w:val="Heading2Char"/>
    <w:uiPriority w:val="9"/>
    <w:unhideWhenUsed/>
    <w:qFormat/>
    <w:rsid w:val="00F26928"/>
    <w:pPr>
      <w:keepNext/>
      <w:keepLines/>
      <w:spacing w:before="40" w:after="0"/>
      <w:outlineLvl w:val="1"/>
    </w:pPr>
    <w:rPr>
      <w:rFonts w:asciiTheme="majorHAnsi" w:eastAsiaTheme="majorEastAsia" w:hAnsiTheme="majorHAnsi" w:cstheme="majorBidi"/>
      <w:color w:val="2E74B5" w:themeColor="accent1" w:themeShade="BF"/>
      <w:sz w:val="32"/>
      <w:szCs w:val="26"/>
    </w:rPr>
  </w:style>
  <w:style w:type="paragraph" w:styleId="Heading3">
    <w:name w:val="heading 3"/>
    <w:basedOn w:val="Normal"/>
    <w:next w:val="Normal"/>
    <w:link w:val="Heading3Char"/>
    <w:uiPriority w:val="9"/>
    <w:unhideWhenUsed/>
    <w:qFormat/>
    <w:rsid w:val="00AF3D5E"/>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98129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98129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4846E1"/>
    <w:pPr>
      <w:numPr>
        <w:ilvl w:val="1"/>
      </w:numPr>
    </w:pPr>
    <w:rPr>
      <w:rFonts w:eastAsiaTheme="minorEastAsia"/>
      <w:caps/>
      <w:color w:val="404040" w:themeColor="text1" w:themeTint="BF"/>
      <w:spacing w:val="15"/>
      <w:sz w:val="20"/>
    </w:rPr>
  </w:style>
  <w:style w:type="character" w:customStyle="1" w:styleId="SubtitleChar">
    <w:name w:val="Subtitle Char"/>
    <w:basedOn w:val="DefaultParagraphFont"/>
    <w:link w:val="Subtitle"/>
    <w:uiPriority w:val="11"/>
    <w:rsid w:val="004846E1"/>
    <w:rPr>
      <w:rFonts w:eastAsiaTheme="minorEastAsia"/>
      <w:caps/>
      <w:color w:val="404040" w:themeColor="text1" w:themeTint="BF"/>
      <w:spacing w:val="15"/>
      <w:sz w:val="20"/>
    </w:rPr>
  </w:style>
  <w:style w:type="character" w:customStyle="1" w:styleId="Heading1Char">
    <w:name w:val="Heading 1 Char"/>
    <w:basedOn w:val="DefaultParagraphFont"/>
    <w:link w:val="Heading1"/>
    <w:uiPriority w:val="9"/>
    <w:rsid w:val="000C7D29"/>
    <w:rPr>
      <w:rFonts w:asciiTheme="majorHAnsi" w:eastAsiaTheme="majorEastAsia" w:hAnsiTheme="majorHAnsi" w:cstheme="majorBidi"/>
      <w:color w:val="2E74B5" w:themeColor="accent1" w:themeShade="BF"/>
      <w:sz w:val="48"/>
      <w:szCs w:val="32"/>
    </w:rPr>
  </w:style>
  <w:style w:type="paragraph" w:styleId="Header">
    <w:name w:val="header"/>
    <w:basedOn w:val="Normal"/>
    <w:link w:val="HeaderChar"/>
    <w:uiPriority w:val="99"/>
    <w:unhideWhenUsed/>
    <w:rsid w:val="00ED559A"/>
    <w:pPr>
      <w:tabs>
        <w:tab w:val="center" w:pos="4536"/>
        <w:tab w:val="right" w:pos="9072"/>
      </w:tabs>
      <w:spacing w:after="0" w:line="240" w:lineRule="auto"/>
    </w:pPr>
  </w:style>
  <w:style w:type="character" w:customStyle="1" w:styleId="HeaderChar">
    <w:name w:val="Header Char"/>
    <w:basedOn w:val="DefaultParagraphFont"/>
    <w:link w:val="Header"/>
    <w:uiPriority w:val="99"/>
    <w:rsid w:val="00ED559A"/>
  </w:style>
  <w:style w:type="paragraph" w:styleId="Footer">
    <w:name w:val="footer"/>
    <w:basedOn w:val="Normal"/>
    <w:link w:val="FooterChar"/>
    <w:uiPriority w:val="99"/>
    <w:unhideWhenUsed/>
    <w:rsid w:val="00ED559A"/>
    <w:pPr>
      <w:tabs>
        <w:tab w:val="center" w:pos="4536"/>
        <w:tab w:val="right" w:pos="9072"/>
      </w:tabs>
      <w:spacing w:after="0" w:line="240" w:lineRule="auto"/>
    </w:pPr>
  </w:style>
  <w:style w:type="character" w:customStyle="1" w:styleId="FooterChar">
    <w:name w:val="Footer Char"/>
    <w:basedOn w:val="DefaultParagraphFont"/>
    <w:link w:val="Footer"/>
    <w:uiPriority w:val="99"/>
    <w:rsid w:val="00ED559A"/>
  </w:style>
  <w:style w:type="paragraph" w:styleId="Title">
    <w:name w:val="Title"/>
    <w:basedOn w:val="Normal"/>
    <w:next w:val="Normal"/>
    <w:link w:val="TitleChar"/>
    <w:uiPriority w:val="10"/>
    <w:qFormat/>
    <w:rsid w:val="00892C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2C0F"/>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3559E0"/>
    <w:rPr>
      <w:rFonts w:ascii="Arial" w:hAnsi="Arial"/>
      <w:i/>
      <w:iCs/>
      <w:color w:val="404040" w:themeColor="text1" w:themeTint="BF"/>
      <w:sz w:val="20"/>
    </w:rPr>
  </w:style>
  <w:style w:type="table" w:styleId="TableGrid">
    <w:name w:val="Table Grid"/>
    <w:basedOn w:val="TableNormal"/>
    <w:uiPriority w:val="39"/>
    <w:rsid w:val="00343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0148"/>
    <w:rPr>
      <w:color w:val="0563C1" w:themeColor="hyperlink"/>
      <w:u w:val="single"/>
    </w:rPr>
  </w:style>
  <w:style w:type="character" w:customStyle="1" w:styleId="Heading2Char">
    <w:name w:val="Heading 2 Char"/>
    <w:basedOn w:val="DefaultParagraphFont"/>
    <w:link w:val="Heading2"/>
    <w:uiPriority w:val="9"/>
    <w:rsid w:val="00F26928"/>
    <w:rPr>
      <w:rFonts w:asciiTheme="majorHAnsi" w:eastAsiaTheme="majorEastAsia" w:hAnsiTheme="majorHAnsi" w:cstheme="majorBidi"/>
      <w:color w:val="2E74B5" w:themeColor="accent1" w:themeShade="BF"/>
      <w:sz w:val="32"/>
      <w:szCs w:val="26"/>
    </w:rPr>
  </w:style>
  <w:style w:type="character" w:customStyle="1" w:styleId="Heading3Char">
    <w:name w:val="Heading 3 Char"/>
    <w:basedOn w:val="DefaultParagraphFont"/>
    <w:link w:val="Heading3"/>
    <w:uiPriority w:val="9"/>
    <w:rsid w:val="00AF3D5E"/>
    <w:rPr>
      <w:rFonts w:asciiTheme="majorHAnsi" w:eastAsiaTheme="majorEastAsia" w:hAnsiTheme="majorHAnsi" w:cstheme="majorBidi"/>
      <w:color w:val="1F4D78" w:themeColor="accent1" w:themeShade="7F"/>
      <w:sz w:val="24"/>
      <w:szCs w:val="24"/>
      <w:lang w:val="en-US"/>
    </w:rPr>
  </w:style>
  <w:style w:type="paragraph" w:styleId="ListParagraph">
    <w:name w:val="List Paragraph"/>
    <w:basedOn w:val="Normal"/>
    <w:uiPriority w:val="34"/>
    <w:qFormat/>
    <w:rsid w:val="00AF3D5E"/>
    <w:pPr>
      <w:ind w:left="720"/>
      <w:contextualSpacing/>
    </w:pPr>
  </w:style>
  <w:style w:type="character" w:styleId="CommentReference">
    <w:name w:val="annotation reference"/>
    <w:basedOn w:val="DefaultParagraphFont"/>
    <w:uiPriority w:val="99"/>
    <w:semiHidden/>
    <w:unhideWhenUsed/>
    <w:rsid w:val="007561EF"/>
    <w:rPr>
      <w:sz w:val="16"/>
      <w:szCs w:val="16"/>
    </w:rPr>
  </w:style>
  <w:style w:type="paragraph" w:styleId="CommentText">
    <w:name w:val="annotation text"/>
    <w:basedOn w:val="Normal"/>
    <w:link w:val="CommentTextChar"/>
    <w:uiPriority w:val="99"/>
    <w:unhideWhenUsed/>
    <w:rsid w:val="007561EF"/>
    <w:pPr>
      <w:spacing w:line="240" w:lineRule="auto"/>
    </w:pPr>
    <w:rPr>
      <w:sz w:val="20"/>
      <w:szCs w:val="20"/>
    </w:rPr>
  </w:style>
  <w:style w:type="character" w:customStyle="1" w:styleId="CommentTextChar">
    <w:name w:val="Comment Text Char"/>
    <w:basedOn w:val="DefaultParagraphFont"/>
    <w:link w:val="CommentText"/>
    <w:uiPriority w:val="99"/>
    <w:rsid w:val="007561EF"/>
    <w:rPr>
      <w:color w:val="595959" w:themeColor="text1" w:themeTint="A6"/>
      <w:sz w:val="20"/>
      <w:szCs w:val="20"/>
      <w:lang w:val="en-US"/>
    </w:rPr>
  </w:style>
  <w:style w:type="paragraph" w:styleId="CommentSubject">
    <w:name w:val="annotation subject"/>
    <w:basedOn w:val="CommentText"/>
    <w:next w:val="CommentText"/>
    <w:link w:val="CommentSubjectChar"/>
    <w:uiPriority w:val="99"/>
    <w:semiHidden/>
    <w:unhideWhenUsed/>
    <w:rsid w:val="007561EF"/>
    <w:rPr>
      <w:b/>
      <w:bCs/>
    </w:rPr>
  </w:style>
  <w:style w:type="character" w:customStyle="1" w:styleId="CommentSubjectChar">
    <w:name w:val="Comment Subject Char"/>
    <w:basedOn w:val="CommentTextChar"/>
    <w:link w:val="CommentSubject"/>
    <w:uiPriority w:val="99"/>
    <w:semiHidden/>
    <w:rsid w:val="007561EF"/>
    <w:rPr>
      <w:b/>
      <w:bCs/>
      <w:color w:val="595959" w:themeColor="text1" w:themeTint="A6"/>
      <w:sz w:val="20"/>
      <w:szCs w:val="20"/>
      <w:lang w:val="en-US"/>
    </w:rPr>
  </w:style>
  <w:style w:type="paragraph" w:styleId="BalloonText">
    <w:name w:val="Balloon Text"/>
    <w:basedOn w:val="Normal"/>
    <w:link w:val="BalloonTextChar"/>
    <w:uiPriority w:val="99"/>
    <w:semiHidden/>
    <w:unhideWhenUsed/>
    <w:rsid w:val="007561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1EF"/>
    <w:rPr>
      <w:rFonts w:ascii="Segoe UI" w:hAnsi="Segoe UI" w:cs="Segoe UI"/>
      <w:color w:val="595959" w:themeColor="text1" w:themeTint="A6"/>
      <w:sz w:val="18"/>
      <w:szCs w:val="18"/>
      <w:lang w:val="en-US"/>
    </w:rPr>
  </w:style>
  <w:style w:type="paragraph" w:styleId="NormalWeb">
    <w:name w:val="Normal (Web)"/>
    <w:basedOn w:val="Normal"/>
    <w:uiPriority w:val="99"/>
    <w:semiHidden/>
    <w:unhideWhenUsed/>
    <w:rsid w:val="00D36F2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oSpacing">
    <w:name w:val="No Spacing"/>
    <w:uiPriority w:val="1"/>
    <w:qFormat/>
    <w:rsid w:val="000A39F0"/>
    <w:pPr>
      <w:spacing w:after="0" w:line="240" w:lineRule="auto"/>
    </w:pPr>
    <w:rPr>
      <w:color w:val="595959" w:themeColor="text1" w:themeTint="A6"/>
      <w:lang w:val="en-US"/>
    </w:rPr>
  </w:style>
  <w:style w:type="character" w:customStyle="1" w:styleId="Heading4Char">
    <w:name w:val="Heading 4 Char"/>
    <w:basedOn w:val="DefaultParagraphFont"/>
    <w:link w:val="Heading4"/>
    <w:uiPriority w:val="9"/>
    <w:rsid w:val="0098129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981297"/>
    <w:rPr>
      <w:rFonts w:asciiTheme="majorHAnsi" w:eastAsiaTheme="majorEastAsia" w:hAnsiTheme="majorHAnsi" w:cstheme="majorBidi"/>
      <w:color w:val="2E74B5" w:themeColor="accent1" w:themeShade="BF"/>
    </w:rPr>
  </w:style>
  <w:style w:type="paragraph" w:styleId="Revision">
    <w:name w:val="Revision"/>
    <w:hidden/>
    <w:uiPriority w:val="99"/>
    <w:semiHidden/>
    <w:rsid w:val="00FC4EF9"/>
    <w:pPr>
      <w:spacing w:after="0" w:line="240" w:lineRule="auto"/>
    </w:pPr>
    <w:rPr>
      <w:color w:val="595959" w:themeColor="text1" w:themeTint="A6"/>
    </w:rPr>
  </w:style>
  <w:style w:type="character" w:customStyle="1" w:styleId="NichtaufgelsteErwhnung1">
    <w:name w:val="Nicht aufgelöste Erwähnung1"/>
    <w:basedOn w:val="DefaultParagraphFont"/>
    <w:uiPriority w:val="99"/>
    <w:semiHidden/>
    <w:unhideWhenUsed/>
    <w:rsid w:val="00934A3C"/>
    <w:rPr>
      <w:color w:val="808080"/>
      <w:shd w:val="clear" w:color="auto" w:fill="E6E6E6"/>
    </w:rPr>
  </w:style>
  <w:style w:type="character" w:customStyle="1" w:styleId="NichtaufgelsteErwhnung2">
    <w:name w:val="Nicht aufgelöste Erwähnung2"/>
    <w:basedOn w:val="DefaultParagraphFont"/>
    <w:uiPriority w:val="99"/>
    <w:semiHidden/>
    <w:unhideWhenUsed/>
    <w:rsid w:val="001E7A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54447">
      <w:bodyDiv w:val="1"/>
      <w:marLeft w:val="0"/>
      <w:marRight w:val="0"/>
      <w:marTop w:val="0"/>
      <w:marBottom w:val="0"/>
      <w:divBdr>
        <w:top w:val="none" w:sz="0" w:space="0" w:color="auto"/>
        <w:left w:val="none" w:sz="0" w:space="0" w:color="auto"/>
        <w:bottom w:val="none" w:sz="0" w:space="0" w:color="auto"/>
        <w:right w:val="none" w:sz="0" w:space="0" w:color="auto"/>
      </w:divBdr>
    </w:div>
    <w:div w:id="303776847">
      <w:bodyDiv w:val="1"/>
      <w:marLeft w:val="0"/>
      <w:marRight w:val="0"/>
      <w:marTop w:val="0"/>
      <w:marBottom w:val="0"/>
      <w:divBdr>
        <w:top w:val="none" w:sz="0" w:space="0" w:color="auto"/>
        <w:left w:val="none" w:sz="0" w:space="0" w:color="auto"/>
        <w:bottom w:val="none" w:sz="0" w:space="0" w:color="auto"/>
        <w:right w:val="none" w:sz="0" w:space="0" w:color="auto"/>
      </w:divBdr>
    </w:div>
    <w:div w:id="444277574">
      <w:bodyDiv w:val="1"/>
      <w:marLeft w:val="0"/>
      <w:marRight w:val="0"/>
      <w:marTop w:val="0"/>
      <w:marBottom w:val="0"/>
      <w:divBdr>
        <w:top w:val="none" w:sz="0" w:space="0" w:color="auto"/>
        <w:left w:val="none" w:sz="0" w:space="0" w:color="auto"/>
        <w:bottom w:val="none" w:sz="0" w:space="0" w:color="auto"/>
        <w:right w:val="none" w:sz="0" w:space="0" w:color="auto"/>
      </w:divBdr>
    </w:div>
    <w:div w:id="456340007">
      <w:bodyDiv w:val="1"/>
      <w:marLeft w:val="0"/>
      <w:marRight w:val="0"/>
      <w:marTop w:val="0"/>
      <w:marBottom w:val="0"/>
      <w:divBdr>
        <w:top w:val="none" w:sz="0" w:space="0" w:color="auto"/>
        <w:left w:val="none" w:sz="0" w:space="0" w:color="auto"/>
        <w:bottom w:val="none" w:sz="0" w:space="0" w:color="auto"/>
        <w:right w:val="none" w:sz="0" w:space="0" w:color="auto"/>
      </w:divBdr>
    </w:div>
    <w:div w:id="509833243">
      <w:bodyDiv w:val="1"/>
      <w:marLeft w:val="0"/>
      <w:marRight w:val="0"/>
      <w:marTop w:val="0"/>
      <w:marBottom w:val="0"/>
      <w:divBdr>
        <w:top w:val="none" w:sz="0" w:space="0" w:color="auto"/>
        <w:left w:val="none" w:sz="0" w:space="0" w:color="auto"/>
        <w:bottom w:val="none" w:sz="0" w:space="0" w:color="auto"/>
        <w:right w:val="none" w:sz="0" w:space="0" w:color="auto"/>
      </w:divBdr>
    </w:div>
    <w:div w:id="514273656">
      <w:bodyDiv w:val="1"/>
      <w:marLeft w:val="0"/>
      <w:marRight w:val="0"/>
      <w:marTop w:val="0"/>
      <w:marBottom w:val="0"/>
      <w:divBdr>
        <w:top w:val="none" w:sz="0" w:space="0" w:color="auto"/>
        <w:left w:val="none" w:sz="0" w:space="0" w:color="auto"/>
        <w:bottom w:val="none" w:sz="0" w:space="0" w:color="auto"/>
        <w:right w:val="none" w:sz="0" w:space="0" w:color="auto"/>
      </w:divBdr>
    </w:div>
    <w:div w:id="519125007">
      <w:bodyDiv w:val="1"/>
      <w:marLeft w:val="0"/>
      <w:marRight w:val="0"/>
      <w:marTop w:val="0"/>
      <w:marBottom w:val="0"/>
      <w:divBdr>
        <w:top w:val="none" w:sz="0" w:space="0" w:color="auto"/>
        <w:left w:val="none" w:sz="0" w:space="0" w:color="auto"/>
        <w:bottom w:val="none" w:sz="0" w:space="0" w:color="auto"/>
        <w:right w:val="none" w:sz="0" w:space="0" w:color="auto"/>
      </w:divBdr>
      <w:divsChild>
        <w:div w:id="934942227">
          <w:marLeft w:val="0"/>
          <w:marRight w:val="0"/>
          <w:marTop w:val="0"/>
          <w:marBottom w:val="0"/>
          <w:divBdr>
            <w:top w:val="none" w:sz="0" w:space="0" w:color="auto"/>
            <w:left w:val="none" w:sz="0" w:space="0" w:color="auto"/>
            <w:bottom w:val="none" w:sz="0" w:space="0" w:color="auto"/>
            <w:right w:val="none" w:sz="0" w:space="0" w:color="auto"/>
          </w:divBdr>
        </w:div>
        <w:div w:id="1871255665">
          <w:marLeft w:val="0"/>
          <w:marRight w:val="0"/>
          <w:marTop w:val="0"/>
          <w:marBottom w:val="0"/>
          <w:divBdr>
            <w:top w:val="none" w:sz="0" w:space="0" w:color="auto"/>
            <w:left w:val="none" w:sz="0" w:space="0" w:color="auto"/>
            <w:bottom w:val="none" w:sz="0" w:space="0" w:color="auto"/>
            <w:right w:val="none" w:sz="0" w:space="0" w:color="auto"/>
          </w:divBdr>
        </w:div>
        <w:div w:id="993992300">
          <w:marLeft w:val="0"/>
          <w:marRight w:val="0"/>
          <w:marTop w:val="0"/>
          <w:marBottom w:val="0"/>
          <w:divBdr>
            <w:top w:val="none" w:sz="0" w:space="0" w:color="auto"/>
            <w:left w:val="none" w:sz="0" w:space="0" w:color="auto"/>
            <w:bottom w:val="none" w:sz="0" w:space="0" w:color="auto"/>
            <w:right w:val="none" w:sz="0" w:space="0" w:color="auto"/>
          </w:divBdr>
        </w:div>
        <w:div w:id="898980036">
          <w:marLeft w:val="0"/>
          <w:marRight w:val="0"/>
          <w:marTop w:val="0"/>
          <w:marBottom w:val="0"/>
          <w:divBdr>
            <w:top w:val="none" w:sz="0" w:space="0" w:color="auto"/>
            <w:left w:val="none" w:sz="0" w:space="0" w:color="auto"/>
            <w:bottom w:val="none" w:sz="0" w:space="0" w:color="auto"/>
            <w:right w:val="none" w:sz="0" w:space="0" w:color="auto"/>
          </w:divBdr>
        </w:div>
        <w:div w:id="1972905537">
          <w:marLeft w:val="0"/>
          <w:marRight w:val="0"/>
          <w:marTop w:val="0"/>
          <w:marBottom w:val="0"/>
          <w:divBdr>
            <w:top w:val="none" w:sz="0" w:space="0" w:color="auto"/>
            <w:left w:val="none" w:sz="0" w:space="0" w:color="auto"/>
            <w:bottom w:val="none" w:sz="0" w:space="0" w:color="auto"/>
            <w:right w:val="none" w:sz="0" w:space="0" w:color="auto"/>
          </w:divBdr>
        </w:div>
        <w:div w:id="245306924">
          <w:marLeft w:val="0"/>
          <w:marRight w:val="0"/>
          <w:marTop w:val="0"/>
          <w:marBottom w:val="0"/>
          <w:divBdr>
            <w:top w:val="none" w:sz="0" w:space="0" w:color="auto"/>
            <w:left w:val="none" w:sz="0" w:space="0" w:color="auto"/>
            <w:bottom w:val="none" w:sz="0" w:space="0" w:color="auto"/>
            <w:right w:val="none" w:sz="0" w:space="0" w:color="auto"/>
          </w:divBdr>
        </w:div>
        <w:div w:id="393435830">
          <w:marLeft w:val="0"/>
          <w:marRight w:val="0"/>
          <w:marTop w:val="0"/>
          <w:marBottom w:val="0"/>
          <w:divBdr>
            <w:top w:val="none" w:sz="0" w:space="0" w:color="auto"/>
            <w:left w:val="none" w:sz="0" w:space="0" w:color="auto"/>
            <w:bottom w:val="none" w:sz="0" w:space="0" w:color="auto"/>
            <w:right w:val="none" w:sz="0" w:space="0" w:color="auto"/>
          </w:divBdr>
        </w:div>
        <w:div w:id="188229572">
          <w:marLeft w:val="0"/>
          <w:marRight w:val="0"/>
          <w:marTop w:val="0"/>
          <w:marBottom w:val="0"/>
          <w:divBdr>
            <w:top w:val="none" w:sz="0" w:space="0" w:color="auto"/>
            <w:left w:val="none" w:sz="0" w:space="0" w:color="auto"/>
            <w:bottom w:val="none" w:sz="0" w:space="0" w:color="auto"/>
            <w:right w:val="none" w:sz="0" w:space="0" w:color="auto"/>
          </w:divBdr>
        </w:div>
        <w:div w:id="401098415">
          <w:marLeft w:val="0"/>
          <w:marRight w:val="0"/>
          <w:marTop w:val="0"/>
          <w:marBottom w:val="0"/>
          <w:divBdr>
            <w:top w:val="none" w:sz="0" w:space="0" w:color="auto"/>
            <w:left w:val="none" w:sz="0" w:space="0" w:color="auto"/>
            <w:bottom w:val="none" w:sz="0" w:space="0" w:color="auto"/>
            <w:right w:val="none" w:sz="0" w:space="0" w:color="auto"/>
          </w:divBdr>
        </w:div>
        <w:div w:id="1139106615">
          <w:marLeft w:val="0"/>
          <w:marRight w:val="0"/>
          <w:marTop w:val="0"/>
          <w:marBottom w:val="0"/>
          <w:divBdr>
            <w:top w:val="none" w:sz="0" w:space="0" w:color="auto"/>
            <w:left w:val="none" w:sz="0" w:space="0" w:color="auto"/>
            <w:bottom w:val="none" w:sz="0" w:space="0" w:color="auto"/>
            <w:right w:val="none" w:sz="0" w:space="0" w:color="auto"/>
          </w:divBdr>
        </w:div>
        <w:div w:id="1488016851">
          <w:marLeft w:val="0"/>
          <w:marRight w:val="0"/>
          <w:marTop w:val="0"/>
          <w:marBottom w:val="0"/>
          <w:divBdr>
            <w:top w:val="none" w:sz="0" w:space="0" w:color="auto"/>
            <w:left w:val="none" w:sz="0" w:space="0" w:color="auto"/>
            <w:bottom w:val="none" w:sz="0" w:space="0" w:color="auto"/>
            <w:right w:val="none" w:sz="0" w:space="0" w:color="auto"/>
          </w:divBdr>
        </w:div>
      </w:divsChild>
    </w:div>
    <w:div w:id="776827379">
      <w:bodyDiv w:val="1"/>
      <w:marLeft w:val="0"/>
      <w:marRight w:val="0"/>
      <w:marTop w:val="0"/>
      <w:marBottom w:val="0"/>
      <w:divBdr>
        <w:top w:val="none" w:sz="0" w:space="0" w:color="auto"/>
        <w:left w:val="none" w:sz="0" w:space="0" w:color="auto"/>
        <w:bottom w:val="none" w:sz="0" w:space="0" w:color="auto"/>
        <w:right w:val="none" w:sz="0" w:space="0" w:color="auto"/>
      </w:divBdr>
    </w:div>
    <w:div w:id="789669414">
      <w:bodyDiv w:val="1"/>
      <w:marLeft w:val="0"/>
      <w:marRight w:val="0"/>
      <w:marTop w:val="0"/>
      <w:marBottom w:val="0"/>
      <w:divBdr>
        <w:top w:val="none" w:sz="0" w:space="0" w:color="auto"/>
        <w:left w:val="none" w:sz="0" w:space="0" w:color="auto"/>
        <w:bottom w:val="none" w:sz="0" w:space="0" w:color="auto"/>
        <w:right w:val="none" w:sz="0" w:space="0" w:color="auto"/>
      </w:divBdr>
      <w:divsChild>
        <w:div w:id="34896085">
          <w:marLeft w:val="0"/>
          <w:marRight w:val="0"/>
          <w:marTop w:val="0"/>
          <w:marBottom w:val="0"/>
          <w:divBdr>
            <w:top w:val="none" w:sz="0" w:space="0" w:color="auto"/>
            <w:left w:val="none" w:sz="0" w:space="0" w:color="auto"/>
            <w:bottom w:val="none" w:sz="0" w:space="0" w:color="auto"/>
            <w:right w:val="none" w:sz="0" w:space="0" w:color="auto"/>
          </w:divBdr>
        </w:div>
      </w:divsChild>
    </w:div>
    <w:div w:id="794445552">
      <w:bodyDiv w:val="1"/>
      <w:marLeft w:val="0"/>
      <w:marRight w:val="0"/>
      <w:marTop w:val="0"/>
      <w:marBottom w:val="0"/>
      <w:divBdr>
        <w:top w:val="none" w:sz="0" w:space="0" w:color="auto"/>
        <w:left w:val="none" w:sz="0" w:space="0" w:color="auto"/>
        <w:bottom w:val="none" w:sz="0" w:space="0" w:color="auto"/>
        <w:right w:val="none" w:sz="0" w:space="0" w:color="auto"/>
      </w:divBdr>
    </w:div>
    <w:div w:id="809858196">
      <w:bodyDiv w:val="1"/>
      <w:marLeft w:val="0"/>
      <w:marRight w:val="0"/>
      <w:marTop w:val="0"/>
      <w:marBottom w:val="0"/>
      <w:divBdr>
        <w:top w:val="none" w:sz="0" w:space="0" w:color="auto"/>
        <w:left w:val="none" w:sz="0" w:space="0" w:color="auto"/>
        <w:bottom w:val="none" w:sz="0" w:space="0" w:color="auto"/>
        <w:right w:val="none" w:sz="0" w:space="0" w:color="auto"/>
      </w:divBdr>
    </w:div>
    <w:div w:id="893008599">
      <w:bodyDiv w:val="1"/>
      <w:marLeft w:val="0"/>
      <w:marRight w:val="0"/>
      <w:marTop w:val="0"/>
      <w:marBottom w:val="0"/>
      <w:divBdr>
        <w:top w:val="none" w:sz="0" w:space="0" w:color="auto"/>
        <w:left w:val="none" w:sz="0" w:space="0" w:color="auto"/>
        <w:bottom w:val="none" w:sz="0" w:space="0" w:color="auto"/>
        <w:right w:val="none" w:sz="0" w:space="0" w:color="auto"/>
      </w:divBdr>
    </w:div>
    <w:div w:id="1019115677">
      <w:bodyDiv w:val="1"/>
      <w:marLeft w:val="0"/>
      <w:marRight w:val="0"/>
      <w:marTop w:val="0"/>
      <w:marBottom w:val="0"/>
      <w:divBdr>
        <w:top w:val="none" w:sz="0" w:space="0" w:color="auto"/>
        <w:left w:val="none" w:sz="0" w:space="0" w:color="auto"/>
        <w:bottom w:val="none" w:sz="0" w:space="0" w:color="auto"/>
        <w:right w:val="none" w:sz="0" w:space="0" w:color="auto"/>
      </w:divBdr>
    </w:div>
    <w:div w:id="1087070821">
      <w:bodyDiv w:val="1"/>
      <w:marLeft w:val="0"/>
      <w:marRight w:val="0"/>
      <w:marTop w:val="0"/>
      <w:marBottom w:val="0"/>
      <w:divBdr>
        <w:top w:val="none" w:sz="0" w:space="0" w:color="auto"/>
        <w:left w:val="none" w:sz="0" w:space="0" w:color="auto"/>
        <w:bottom w:val="none" w:sz="0" w:space="0" w:color="auto"/>
        <w:right w:val="none" w:sz="0" w:space="0" w:color="auto"/>
      </w:divBdr>
    </w:div>
    <w:div w:id="1223716835">
      <w:bodyDiv w:val="1"/>
      <w:marLeft w:val="0"/>
      <w:marRight w:val="0"/>
      <w:marTop w:val="0"/>
      <w:marBottom w:val="0"/>
      <w:divBdr>
        <w:top w:val="none" w:sz="0" w:space="0" w:color="auto"/>
        <w:left w:val="none" w:sz="0" w:space="0" w:color="auto"/>
        <w:bottom w:val="none" w:sz="0" w:space="0" w:color="auto"/>
        <w:right w:val="none" w:sz="0" w:space="0" w:color="auto"/>
      </w:divBdr>
    </w:div>
    <w:div w:id="1498114982">
      <w:bodyDiv w:val="1"/>
      <w:marLeft w:val="0"/>
      <w:marRight w:val="0"/>
      <w:marTop w:val="0"/>
      <w:marBottom w:val="0"/>
      <w:divBdr>
        <w:top w:val="none" w:sz="0" w:space="0" w:color="auto"/>
        <w:left w:val="none" w:sz="0" w:space="0" w:color="auto"/>
        <w:bottom w:val="none" w:sz="0" w:space="0" w:color="auto"/>
        <w:right w:val="none" w:sz="0" w:space="0" w:color="auto"/>
      </w:divBdr>
    </w:div>
    <w:div w:id="1501852838">
      <w:bodyDiv w:val="1"/>
      <w:marLeft w:val="0"/>
      <w:marRight w:val="0"/>
      <w:marTop w:val="0"/>
      <w:marBottom w:val="0"/>
      <w:divBdr>
        <w:top w:val="none" w:sz="0" w:space="0" w:color="auto"/>
        <w:left w:val="none" w:sz="0" w:space="0" w:color="auto"/>
        <w:bottom w:val="none" w:sz="0" w:space="0" w:color="auto"/>
        <w:right w:val="none" w:sz="0" w:space="0" w:color="auto"/>
      </w:divBdr>
    </w:div>
    <w:div w:id="1612785020">
      <w:bodyDiv w:val="1"/>
      <w:marLeft w:val="0"/>
      <w:marRight w:val="0"/>
      <w:marTop w:val="0"/>
      <w:marBottom w:val="0"/>
      <w:divBdr>
        <w:top w:val="none" w:sz="0" w:space="0" w:color="auto"/>
        <w:left w:val="none" w:sz="0" w:space="0" w:color="auto"/>
        <w:bottom w:val="none" w:sz="0" w:space="0" w:color="auto"/>
        <w:right w:val="none" w:sz="0" w:space="0" w:color="auto"/>
      </w:divBdr>
    </w:div>
    <w:div w:id="1652245793">
      <w:bodyDiv w:val="1"/>
      <w:marLeft w:val="0"/>
      <w:marRight w:val="0"/>
      <w:marTop w:val="0"/>
      <w:marBottom w:val="0"/>
      <w:divBdr>
        <w:top w:val="none" w:sz="0" w:space="0" w:color="auto"/>
        <w:left w:val="none" w:sz="0" w:space="0" w:color="auto"/>
        <w:bottom w:val="none" w:sz="0" w:space="0" w:color="auto"/>
        <w:right w:val="none" w:sz="0" w:space="0" w:color="auto"/>
      </w:divBdr>
    </w:div>
    <w:div w:id="1693415662">
      <w:bodyDiv w:val="1"/>
      <w:marLeft w:val="0"/>
      <w:marRight w:val="0"/>
      <w:marTop w:val="0"/>
      <w:marBottom w:val="0"/>
      <w:divBdr>
        <w:top w:val="none" w:sz="0" w:space="0" w:color="auto"/>
        <w:left w:val="none" w:sz="0" w:space="0" w:color="auto"/>
        <w:bottom w:val="none" w:sz="0" w:space="0" w:color="auto"/>
        <w:right w:val="none" w:sz="0" w:space="0" w:color="auto"/>
      </w:divBdr>
    </w:div>
    <w:div w:id="1703938331">
      <w:bodyDiv w:val="1"/>
      <w:marLeft w:val="0"/>
      <w:marRight w:val="0"/>
      <w:marTop w:val="0"/>
      <w:marBottom w:val="0"/>
      <w:divBdr>
        <w:top w:val="none" w:sz="0" w:space="0" w:color="auto"/>
        <w:left w:val="none" w:sz="0" w:space="0" w:color="auto"/>
        <w:bottom w:val="none" w:sz="0" w:space="0" w:color="auto"/>
        <w:right w:val="none" w:sz="0" w:space="0" w:color="auto"/>
      </w:divBdr>
    </w:div>
    <w:div w:id="1744639385">
      <w:bodyDiv w:val="1"/>
      <w:marLeft w:val="0"/>
      <w:marRight w:val="0"/>
      <w:marTop w:val="0"/>
      <w:marBottom w:val="0"/>
      <w:divBdr>
        <w:top w:val="none" w:sz="0" w:space="0" w:color="auto"/>
        <w:left w:val="none" w:sz="0" w:space="0" w:color="auto"/>
        <w:bottom w:val="none" w:sz="0" w:space="0" w:color="auto"/>
        <w:right w:val="none" w:sz="0" w:space="0" w:color="auto"/>
      </w:divBdr>
    </w:div>
    <w:div w:id="1946307737">
      <w:bodyDiv w:val="1"/>
      <w:marLeft w:val="0"/>
      <w:marRight w:val="0"/>
      <w:marTop w:val="0"/>
      <w:marBottom w:val="0"/>
      <w:divBdr>
        <w:top w:val="none" w:sz="0" w:space="0" w:color="auto"/>
        <w:left w:val="none" w:sz="0" w:space="0" w:color="auto"/>
        <w:bottom w:val="none" w:sz="0" w:space="0" w:color="auto"/>
        <w:right w:val="none" w:sz="0" w:space="0" w:color="auto"/>
      </w:divBdr>
    </w:div>
    <w:div w:id="210622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olf@accesstomedicinefoundation.org" TargetMode="Externa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ccesstomedicine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FAEAA-F484-49DD-B001-D3666CDCF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1250</Words>
  <Characters>8299</Characters>
  <Application>Microsoft Office Word</Application>
  <DocSecurity>0</DocSecurity>
  <Lines>69</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Carl Zeiss AG</Company>
  <LinksUpToDate>false</LinksUpToDate>
  <CharactersWithSpaces>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 Röder</dc:creator>
  <cp:lastModifiedBy>Patricia</cp:lastModifiedBy>
  <cp:revision>3</cp:revision>
  <cp:lastPrinted>2018-11-13T17:17:00Z</cp:lastPrinted>
  <dcterms:created xsi:type="dcterms:W3CDTF">2018-11-13T17:32:00Z</dcterms:created>
  <dcterms:modified xsi:type="dcterms:W3CDTF">2018-11-15T09:34:00Z</dcterms:modified>
</cp:coreProperties>
</file>